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7D4122" w14:textId="5FD2774B" w:rsidR="009F645F" w:rsidRDefault="0000433E">
      <w:pPr>
        <w:pStyle w:val="Title"/>
        <w:rPr>
          <w:rFonts w:asciiTheme="minorHAnsi" w:hAnsiTheme="minorHAnsi"/>
          <w:sz w:val="20"/>
          <w:szCs w:val="20"/>
          <w:lang w:val="el-GR"/>
        </w:rPr>
      </w:pPr>
      <w:bookmarkStart w:id="0" w:name="_a07woy6l9og4" w:colFirst="0" w:colLast="0"/>
      <w:bookmarkEnd w:id="0"/>
      <w:r>
        <w:rPr>
          <w:noProof/>
        </w:rPr>
        <w:drawing>
          <wp:anchor distT="114300" distB="114300" distL="114300" distR="114300" simplePos="0" relativeHeight="251658240" behindDoc="0" locked="0" layoutInCell="1" hidden="0" allowOverlap="1" wp14:anchorId="017A4F64" wp14:editId="4C445F35">
            <wp:simplePos x="0" y="0"/>
            <wp:positionH relativeFrom="column">
              <wp:posOffset>-19049</wp:posOffset>
            </wp:positionH>
            <wp:positionV relativeFrom="paragraph">
              <wp:posOffset>114300</wp:posOffset>
            </wp:positionV>
            <wp:extent cx="6086475" cy="9525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alphaModFix amt="36000"/>
                    </a:blip>
                    <a:srcRect t="15384" b="33333"/>
                    <a:stretch>
                      <a:fillRect/>
                    </a:stretch>
                  </pic:blipFill>
                  <pic:spPr>
                    <a:xfrm>
                      <a:off x="0" y="0"/>
                      <a:ext cx="6086475" cy="95250"/>
                    </a:xfrm>
                    <a:prstGeom prst="rect">
                      <a:avLst/>
                    </a:prstGeom>
                    <a:ln/>
                  </pic:spPr>
                </pic:pic>
              </a:graphicData>
            </a:graphic>
          </wp:anchor>
        </w:drawing>
      </w:r>
      <w:r w:rsidR="00B4275F">
        <w:rPr>
          <w:rFonts w:asciiTheme="minorHAnsi" w:hAnsiTheme="minorHAnsi"/>
          <w:sz w:val="20"/>
          <w:szCs w:val="20"/>
          <w:lang w:val="el-GR"/>
        </w:rPr>
        <w:t xml:space="preserve">(Επισήμανση: το κείμενο που ακολουθεί αποτελεί μια άτυπη μετάφραση της </w:t>
      </w:r>
      <w:r w:rsidR="00B4275F">
        <w:rPr>
          <w:rFonts w:asciiTheme="minorHAnsi" w:hAnsiTheme="minorHAnsi"/>
          <w:sz w:val="20"/>
          <w:szCs w:val="20"/>
          <w:lang w:val="en-US"/>
        </w:rPr>
        <w:t>Terre</w:t>
      </w:r>
      <w:r w:rsidR="00B4275F" w:rsidRPr="00B4275F">
        <w:rPr>
          <w:rFonts w:asciiTheme="minorHAnsi" w:hAnsiTheme="minorHAnsi"/>
          <w:sz w:val="20"/>
          <w:szCs w:val="20"/>
          <w:lang w:val="el-GR"/>
        </w:rPr>
        <w:t xml:space="preserve"> </w:t>
      </w:r>
      <w:r w:rsidR="00B4275F">
        <w:rPr>
          <w:rFonts w:asciiTheme="minorHAnsi" w:hAnsiTheme="minorHAnsi"/>
          <w:sz w:val="20"/>
          <w:szCs w:val="20"/>
          <w:lang w:val="en-US"/>
        </w:rPr>
        <w:t>des</w:t>
      </w:r>
      <w:r w:rsidR="00B4275F" w:rsidRPr="00B4275F">
        <w:rPr>
          <w:rFonts w:asciiTheme="minorHAnsi" w:hAnsiTheme="minorHAnsi"/>
          <w:sz w:val="20"/>
          <w:szCs w:val="20"/>
          <w:lang w:val="el-GR"/>
        </w:rPr>
        <w:t xml:space="preserve"> </w:t>
      </w:r>
      <w:r w:rsidR="00B4275F">
        <w:rPr>
          <w:rFonts w:asciiTheme="minorHAnsi" w:hAnsiTheme="minorHAnsi"/>
          <w:sz w:val="20"/>
          <w:szCs w:val="20"/>
          <w:lang w:val="en-US"/>
        </w:rPr>
        <w:t>hommes</w:t>
      </w:r>
      <w:r w:rsidR="00B4275F" w:rsidRPr="00B4275F">
        <w:rPr>
          <w:rFonts w:asciiTheme="minorHAnsi" w:hAnsiTheme="minorHAnsi"/>
          <w:sz w:val="20"/>
          <w:szCs w:val="20"/>
          <w:lang w:val="el-GR"/>
        </w:rPr>
        <w:t xml:space="preserve"> </w:t>
      </w:r>
      <w:r w:rsidR="00B4275F">
        <w:rPr>
          <w:rFonts w:asciiTheme="minorHAnsi" w:hAnsiTheme="minorHAnsi"/>
          <w:sz w:val="20"/>
          <w:szCs w:val="20"/>
          <w:lang w:val="en-US"/>
        </w:rPr>
        <w:t>Hellas</w:t>
      </w:r>
      <w:r w:rsidR="00B4275F" w:rsidRPr="00B4275F">
        <w:rPr>
          <w:rFonts w:asciiTheme="minorHAnsi" w:hAnsiTheme="minorHAnsi"/>
          <w:sz w:val="20"/>
          <w:szCs w:val="20"/>
          <w:lang w:val="el-GR"/>
        </w:rPr>
        <w:t xml:space="preserve"> </w:t>
      </w:r>
      <w:r w:rsidR="00B4275F">
        <w:rPr>
          <w:rFonts w:asciiTheme="minorHAnsi" w:hAnsiTheme="minorHAnsi"/>
          <w:sz w:val="20"/>
          <w:szCs w:val="20"/>
          <w:lang w:val="el-GR"/>
        </w:rPr>
        <w:t xml:space="preserve">στο κείμενο που συνυπέγραψαν στα αγγλικά 37 οργανώσεις. Για τη λίστα με τις συνυπογράφουσες οργανώσεις, παρακαλούμε επισκεφθείτε το αγγλικό -πρωτότυπο- κείμενο ) </w:t>
      </w:r>
    </w:p>
    <w:p w14:paraId="4F91CDA3" w14:textId="77777777" w:rsidR="00B4275F" w:rsidRPr="00B4275F" w:rsidRDefault="00B4275F" w:rsidP="00B4275F">
      <w:pPr>
        <w:rPr>
          <w:lang w:val="el-GR"/>
        </w:rPr>
      </w:pPr>
    </w:p>
    <w:p w14:paraId="5C3877E3" w14:textId="4F56BAB8" w:rsidR="009F645F" w:rsidRPr="00430BCF" w:rsidRDefault="0000433E">
      <w:pPr>
        <w:pStyle w:val="Subtitle"/>
        <w:pBdr>
          <w:top w:val="nil"/>
          <w:left w:val="nil"/>
          <w:bottom w:val="nil"/>
          <w:right w:val="nil"/>
          <w:between w:val="nil"/>
        </w:pBdr>
        <w:jc w:val="right"/>
        <w:rPr>
          <w:color w:val="545454"/>
          <w:sz w:val="22"/>
          <w:szCs w:val="22"/>
          <w:lang w:val="el-GR"/>
        </w:rPr>
      </w:pPr>
      <w:bookmarkStart w:id="1" w:name="_2nuf54q86v7q" w:colFirst="0" w:colLast="0"/>
      <w:bookmarkEnd w:id="1"/>
      <w:r w:rsidRPr="00430BCF">
        <w:rPr>
          <w:color w:val="545454"/>
          <w:sz w:val="22"/>
          <w:szCs w:val="22"/>
          <w:lang w:val="el-GR"/>
        </w:rPr>
        <w:t xml:space="preserve">28 </w:t>
      </w:r>
      <w:r w:rsidR="00D873FF">
        <w:rPr>
          <w:color w:val="545454"/>
          <w:sz w:val="22"/>
          <w:szCs w:val="22"/>
        </w:rPr>
        <w:t>A</w:t>
      </w:r>
      <w:r w:rsidR="00D873FF">
        <w:rPr>
          <w:rFonts w:asciiTheme="minorHAnsi" w:hAnsiTheme="minorHAnsi"/>
          <w:color w:val="545454"/>
          <w:sz w:val="22"/>
          <w:szCs w:val="22"/>
          <w:lang w:val="el-GR"/>
        </w:rPr>
        <w:t>υγούστου</w:t>
      </w:r>
      <w:r w:rsidRPr="00430BCF">
        <w:rPr>
          <w:color w:val="545454"/>
          <w:sz w:val="22"/>
          <w:szCs w:val="22"/>
          <w:lang w:val="el-GR"/>
        </w:rPr>
        <w:t xml:space="preserve"> 2022</w:t>
      </w:r>
    </w:p>
    <w:p w14:paraId="7D5C24B1" w14:textId="77777777" w:rsidR="009F645F" w:rsidRPr="00430BCF" w:rsidRDefault="009F645F">
      <w:pPr>
        <w:pBdr>
          <w:top w:val="nil"/>
          <w:left w:val="nil"/>
          <w:bottom w:val="nil"/>
          <w:right w:val="nil"/>
          <w:between w:val="nil"/>
        </w:pBdr>
        <w:spacing w:before="0"/>
        <w:rPr>
          <w:rFonts w:ascii="Calibri" w:eastAsia="Calibri" w:hAnsi="Calibri" w:cs="Calibri"/>
          <w:b/>
          <w:sz w:val="24"/>
          <w:szCs w:val="24"/>
          <w:lang w:val="el-GR"/>
        </w:rPr>
      </w:pPr>
    </w:p>
    <w:p w14:paraId="0B3F686B" w14:textId="53EFEC5A" w:rsidR="002E1FFE" w:rsidRDefault="002E1FFE" w:rsidP="002E1FFE">
      <w:pPr>
        <w:spacing w:before="0"/>
        <w:jc w:val="both"/>
        <w:rPr>
          <w:rFonts w:ascii="Calibri" w:eastAsia="Calibri" w:hAnsi="Calibri" w:cs="Calibri"/>
          <w:color w:val="272727"/>
          <w:sz w:val="24"/>
          <w:szCs w:val="24"/>
          <w:lang w:val="el-GR"/>
        </w:rPr>
      </w:pPr>
    </w:p>
    <w:p w14:paraId="45F8B10C" w14:textId="069D19B5" w:rsidR="002E1FFE" w:rsidRPr="002E1FFE" w:rsidRDefault="002E1FFE" w:rsidP="002E1FFE">
      <w:pPr>
        <w:spacing w:before="0"/>
        <w:jc w:val="both"/>
        <w:rPr>
          <w:rFonts w:ascii="Calibri" w:eastAsia="Calibri" w:hAnsi="Calibri" w:cs="Calibri"/>
          <w:color w:val="272727"/>
          <w:sz w:val="24"/>
          <w:szCs w:val="24"/>
          <w:lang w:val="el-GR"/>
        </w:rPr>
      </w:pPr>
      <w:r>
        <w:rPr>
          <w:rFonts w:ascii="Calibri" w:eastAsia="Calibri" w:hAnsi="Calibri" w:cs="Calibri"/>
          <w:color w:val="272727"/>
          <w:sz w:val="24"/>
          <w:szCs w:val="24"/>
          <w:lang w:val="el-GR"/>
        </w:rPr>
        <w:t>Αγαπητοί κύριοι Λογ</w:t>
      </w:r>
      <w:r w:rsidR="00430BCF">
        <w:rPr>
          <w:rFonts w:ascii="Calibri" w:eastAsia="Calibri" w:hAnsi="Calibri" w:cs="Calibri"/>
          <w:color w:val="272727"/>
          <w:sz w:val="24"/>
          <w:szCs w:val="24"/>
          <w:lang w:val="el-GR"/>
        </w:rPr>
        <w:t>οθ</w:t>
      </w:r>
      <w:r>
        <w:rPr>
          <w:rFonts w:ascii="Calibri" w:eastAsia="Calibri" w:hAnsi="Calibri" w:cs="Calibri"/>
          <w:color w:val="272727"/>
          <w:sz w:val="24"/>
          <w:szCs w:val="24"/>
          <w:lang w:val="el-GR"/>
        </w:rPr>
        <w:t xml:space="preserve">έτη και Γεωργιάδη, </w:t>
      </w:r>
    </w:p>
    <w:p w14:paraId="70ACFB4A" w14:textId="2CD7D54F"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Υπό το φως των πληροφοριών που συλλέγονται μέσω της συμβολής πολλών οργανισμών και ομάδων εστίασης από την κοινότητα, σας στέλνουμε αυτήν την επιστολή </w:t>
      </w:r>
      <w:r>
        <w:rPr>
          <w:rFonts w:ascii="Calibri" w:eastAsia="Calibri" w:hAnsi="Calibri" w:cs="Calibri"/>
          <w:color w:val="272727"/>
          <w:sz w:val="24"/>
          <w:szCs w:val="24"/>
          <w:lang w:val="el-GR"/>
        </w:rPr>
        <w:t>εγείροντας</w:t>
      </w:r>
      <w:r w:rsidRPr="002E1FFE">
        <w:rPr>
          <w:rFonts w:ascii="Calibri" w:eastAsia="Calibri" w:hAnsi="Calibri" w:cs="Calibri"/>
          <w:color w:val="272727"/>
          <w:sz w:val="24"/>
          <w:szCs w:val="24"/>
          <w:lang w:val="el-GR"/>
        </w:rPr>
        <w:t xml:space="preserve"> ιδιαίτερες ανησυχίες σχετικά με την κατάσταση των αιτούντων άσυλο </w:t>
      </w:r>
      <w:r w:rsidR="00430BCF" w:rsidRPr="00430BCF">
        <w:rPr>
          <w:rFonts w:ascii="Calibri" w:eastAsia="Calibri" w:hAnsi="Calibri" w:cs="Calibri"/>
          <w:color w:val="272727"/>
          <w:sz w:val="24"/>
          <w:szCs w:val="24"/>
          <w:lang w:val="el-GR"/>
        </w:rPr>
        <w:t>ΛΟΑΤΚΙ+</w:t>
      </w:r>
      <w:r w:rsidRPr="002E1FFE">
        <w:rPr>
          <w:rFonts w:ascii="Calibri" w:eastAsia="Calibri" w:hAnsi="Calibri" w:cs="Calibri"/>
          <w:color w:val="272727"/>
          <w:sz w:val="24"/>
          <w:szCs w:val="24"/>
          <w:lang w:val="el-GR"/>
        </w:rPr>
        <w:t xml:space="preserve">στην Ελλάδα. Εκτιμούμε την </w:t>
      </w:r>
      <w:r>
        <w:rPr>
          <w:rFonts w:ascii="Calibri" w:eastAsia="Calibri" w:hAnsi="Calibri" w:cs="Calibri"/>
          <w:color w:val="272727"/>
          <w:sz w:val="24"/>
          <w:szCs w:val="24"/>
          <w:lang w:val="el-GR"/>
        </w:rPr>
        <w:t xml:space="preserve">ανταπόκρισή </w:t>
      </w:r>
      <w:r w:rsidRPr="002E1FFE">
        <w:rPr>
          <w:rFonts w:ascii="Calibri" w:eastAsia="Calibri" w:hAnsi="Calibri" w:cs="Calibri"/>
          <w:color w:val="272727"/>
          <w:sz w:val="24"/>
          <w:szCs w:val="24"/>
          <w:lang w:val="el-GR"/>
        </w:rPr>
        <w:t xml:space="preserve">σας </w:t>
      </w:r>
      <w:r>
        <w:rPr>
          <w:rFonts w:ascii="Calibri" w:eastAsia="Calibri" w:hAnsi="Calibri" w:cs="Calibri"/>
          <w:color w:val="272727"/>
          <w:sz w:val="24"/>
          <w:szCs w:val="24"/>
          <w:lang w:val="el-GR"/>
        </w:rPr>
        <w:t>σ</w:t>
      </w:r>
      <w:r w:rsidRPr="002E1FFE">
        <w:rPr>
          <w:rFonts w:ascii="Calibri" w:eastAsia="Calibri" w:hAnsi="Calibri" w:cs="Calibri"/>
          <w:color w:val="272727"/>
          <w:sz w:val="24"/>
          <w:szCs w:val="24"/>
          <w:lang w:val="el-GR"/>
        </w:rPr>
        <w:t>τα σχόλιά μας και ελπίζουμε ότι μπορούμε να συνεχίσουμε να συνεργαζόμαστε μαζί σας για αυτό το θέμα περαιτέρω.</w:t>
      </w:r>
    </w:p>
    <w:p w14:paraId="393D1CD0" w14:textId="77777777" w:rsidR="002E1FFE" w:rsidRDefault="002E1FFE" w:rsidP="002E1FFE">
      <w:pPr>
        <w:spacing w:before="0"/>
        <w:jc w:val="both"/>
        <w:rPr>
          <w:rFonts w:ascii="Calibri" w:eastAsia="Calibri" w:hAnsi="Calibri" w:cs="Calibri"/>
          <w:color w:val="272727"/>
          <w:sz w:val="24"/>
          <w:szCs w:val="24"/>
          <w:lang w:val="el-GR"/>
        </w:rPr>
      </w:pPr>
    </w:p>
    <w:p w14:paraId="37312F3C" w14:textId="4BB9FD74" w:rsidR="002E1FFE" w:rsidRPr="002E1FFE" w:rsidRDefault="002E1FFE" w:rsidP="002E1FFE">
      <w:pPr>
        <w:pStyle w:val="Heading1"/>
        <w:spacing w:before="0"/>
        <w:jc w:val="both"/>
        <w:rPr>
          <w:color w:val="980000"/>
        </w:rPr>
      </w:pPr>
      <w:r w:rsidRPr="002E1FFE">
        <w:rPr>
          <w:rFonts w:ascii="Calibri" w:hAnsi="Calibri" w:cs="Calibri"/>
          <w:color w:val="980000"/>
        </w:rPr>
        <w:t>Κατα</w:t>
      </w:r>
      <w:proofErr w:type="spellStart"/>
      <w:r w:rsidRPr="002E1FFE">
        <w:rPr>
          <w:rFonts w:ascii="Calibri" w:hAnsi="Calibri" w:cs="Calibri"/>
          <w:color w:val="980000"/>
        </w:rPr>
        <w:t>φύγιο</w:t>
      </w:r>
      <w:proofErr w:type="spellEnd"/>
      <w:r w:rsidRPr="002E1FFE">
        <w:rPr>
          <w:color w:val="980000"/>
        </w:rPr>
        <w:t xml:space="preserve"> </w:t>
      </w:r>
      <w:r w:rsidRPr="002E1FFE">
        <w:rPr>
          <w:rFonts w:ascii="Calibri" w:hAnsi="Calibri" w:cs="Calibri"/>
          <w:color w:val="980000"/>
        </w:rPr>
        <w:t>και</w:t>
      </w:r>
      <w:r w:rsidRPr="002E1FFE">
        <w:rPr>
          <w:color w:val="980000"/>
        </w:rPr>
        <w:t xml:space="preserve"> </w:t>
      </w:r>
      <w:proofErr w:type="spellStart"/>
      <w:r w:rsidRPr="002E1FFE">
        <w:rPr>
          <w:rFonts w:ascii="Calibri" w:hAnsi="Calibri" w:cs="Calibri"/>
          <w:color w:val="980000"/>
        </w:rPr>
        <w:t>Ασφάλει</w:t>
      </w:r>
      <w:proofErr w:type="spellEnd"/>
      <w:r w:rsidRPr="002E1FFE">
        <w:rPr>
          <w:rFonts w:ascii="Calibri" w:hAnsi="Calibri" w:cs="Calibri"/>
          <w:color w:val="980000"/>
        </w:rPr>
        <w:t>α</w:t>
      </w:r>
    </w:p>
    <w:p w14:paraId="74EDD341" w14:textId="77777777" w:rsidR="002E1FFE" w:rsidRPr="002E1FFE" w:rsidRDefault="002E1FFE" w:rsidP="002E1FFE">
      <w:pPr>
        <w:spacing w:before="0"/>
        <w:jc w:val="both"/>
        <w:rPr>
          <w:rFonts w:ascii="Calibri" w:eastAsia="Calibri" w:hAnsi="Calibri" w:cs="Calibri"/>
          <w:color w:val="272727"/>
          <w:sz w:val="24"/>
          <w:szCs w:val="24"/>
          <w:lang w:val="el-GR"/>
        </w:rPr>
      </w:pPr>
    </w:p>
    <w:p w14:paraId="62CE693C" w14:textId="42CF954E" w:rsidR="002E1FFE" w:rsidRPr="002E1FFE" w:rsidRDefault="002E1FFE" w:rsidP="002E1FFE">
      <w:pPr>
        <w:spacing w:before="0"/>
        <w:jc w:val="both"/>
        <w:rPr>
          <w:rFonts w:ascii="Calibri" w:eastAsia="Calibri" w:hAnsi="Calibri" w:cs="Calibri"/>
          <w:color w:val="272727"/>
          <w:sz w:val="24"/>
          <w:szCs w:val="24"/>
          <w:lang w:val="el-GR"/>
        </w:rPr>
      </w:pPr>
      <w:r>
        <w:rPr>
          <w:rFonts w:ascii="Calibri" w:eastAsia="Calibri" w:hAnsi="Calibri" w:cs="Calibri"/>
          <w:color w:val="272727"/>
          <w:sz w:val="24"/>
          <w:szCs w:val="24"/>
          <w:lang w:val="el-GR"/>
        </w:rPr>
        <w:t xml:space="preserve">Έχει συμφωνηθεί </w:t>
      </w:r>
      <w:r w:rsidRPr="002E1FFE">
        <w:rPr>
          <w:rFonts w:ascii="Calibri" w:eastAsia="Calibri" w:hAnsi="Calibri" w:cs="Calibri"/>
          <w:color w:val="272727"/>
          <w:sz w:val="24"/>
          <w:szCs w:val="24"/>
          <w:lang w:val="el-GR"/>
        </w:rPr>
        <w:t xml:space="preserve">ότι </w:t>
      </w:r>
      <w:r>
        <w:rPr>
          <w:rFonts w:ascii="Calibri" w:eastAsia="Calibri" w:hAnsi="Calibri" w:cs="Calibri"/>
          <w:color w:val="272727"/>
          <w:sz w:val="24"/>
          <w:szCs w:val="24"/>
          <w:lang w:val="el-GR"/>
        </w:rPr>
        <w:t>δεν ενδείκνυται η δημιουργία</w:t>
      </w:r>
      <w:r w:rsidRPr="002E1FFE">
        <w:rPr>
          <w:rFonts w:ascii="Calibri" w:eastAsia="Calibri" w:hAnsi="Calibri" w:cs="Calibri"/>
          <w:color w:val="272727"/>
          <w:sz w:val="24"/>
          <w:szCs w:val="24"/>
          <w:lang w:val="el-GR"/>
        </w:rPr>
        <w:t xml:space="preserve"> </w:t>
      </w:r>
      <w:r>
        <w:rPr>
          <w:rFonts w:ascii="Calibri" w:eastAsia="Calibri" w:hAnsi="Calibri" w:cs="Calibri"/>
          <w:color w:val="272727"/>
          <w:sz w:val="24"/>
          <w:szCs w:val="24"/>
          <w:lang w:val="el-GR"/>
        </w:rPr>
        <w:t>χώρου</w:t>
      </w:r>
      <w:r w:rsidRPr="002E1FFE">
        <w:rPr>
          <w:rFonts w:ascii="Calibri" w:eastAsia="Calibri" w:hAnsi="Calibri" w:cs="Calibri"/>
          <w:color w:val="272727"/>
          <w:sz w:val="24"/>
          <w:szCs w:val="24"/>
          <w:lang w:val="el-GR"/>
        </w:rPr>
        <w:t xml:space="preserve"> για </w:t>
      </w:r>
      <w:r w:rsidR="00430BCF">
        <w:rPr>
          <w:rFonts w:ascii="Calibri" w:eastAsia="Calibri" w:hAnsi="Calibri" w:cs="Calibri"/>
          <w:color w:val="272727"/>
          <w:sz w:val="24"/>
          <w:szCs w:val="24"/>
          <w:lang w:val="el-GR"/>
        </w:rPr>
        <w:t>ΛΟΑΤΚΙ+</w:t>
      </w:r>
      <w:r w:rsidRPr="002E1FFE">
        <w:rPr>
          <w:rFonts w:ascii="Calibri" w:eastAsia="Calibri" w:hAnsi="Calibri" w:cs="Calibri"/>
          <w:color w:val="272727"/>
          <w:sz w:val="24"/>
          <w:szCs w:val="24"/>
          <w:lang w:val="el-GR"/>
        </w:rPr>
        <w:t xml:space="preserve"> άτομα εντός των καταυλισμών, καθώς υπάρχει κίνδυνος περαιτέρω απομόνωσης και στιγματισμού. Ωστόσο, επί του παρόντος, η Ελλάδα αδυνατεί να παρέχει τις κατάλληλες συνθήκες υποδοχής για </w:t>
      </w:r>
      <w:r w:rsidR="00430BCF">
        <w:rPr>
          <w:rFonts w:ascii="Calibri" w:eastAsia="Calibri" w:hAnsi="Calibri" w:cs="Calibri"/>
          <w:color w:val="272727"/>
          <w:sz w:val="24"/>
          <w:szCs w:val="24"/>
          <w:lang w:val="el-GR"/>
        </w:rPr>
        <w:t>τα αιτούντα</w:t>
      </w:r>
      <w:r w:rsidRPr="002E1FFE">
        <w:rPr>
          <w:rFonts w:ascii="Calibri" w:eastAsia="Calibri" w:hAnsi="Calibri" w:cs="Calibri"/>
          <w:color w:val="272727"/>
          <w:sz w:val="24"/>
          <w:szCs w:val="24"/>
          <w:lang w:val="el-GR"/>
        </w:rPr>
        <w:t xml:space="preserve"> </w:t>
      </w:r>
      <w:r w:rsid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άτομα. </w:t>
      </w:r>
      <w:r w:rsidRPr="002E1FFE">
        <w:rPr>
          <w:rFonts w:ascii="Calibri" w:eastAsia="Calibri" w:hAnsi="Calibri" w:cs="Calibri"/>
          <w:color w:val="272727"/>
          <w:sz w:val="24"/>
          <w:szCs w:val="24"/>
          <w:lang w:val="el-GR"/>
        </w:rPr>
        <w:t xml:space="preserve">Επί του παρόντος, </w:t>
      </w:r>
      <w:r w:rsidR="00430BCF">
        <w:rPr>
          <w:rFonts w:ascii="Calibri" w:eastAsia="Calibri" w:hAnsi="Calibri" w:cs="Calibri"/>
          <w:color w:val="272727"/>
          <w:sz w:val="24"/>
          <w:szCs w:val="24"/>
          <w:lang w:val="el-GR"/>
        </w:rPr>
        <w:t>τα αιτούντα</w:t>
      </w:r>
      <w:r w:rsidRPr="002E1FFE">
        <w:rPr>
          <w:rFonts w:ascii="Calibri" w:eastAsia="Calibri" w:hAnsi="Calibri" w:cs="Calibri"/>
          <w:color w:val="272727"/>
          <w:sz w:val="24"/>
          <w:szCs w:val="24"/>
          <w:lang w:val="el-GR"/>
        </w:rPr>
        <w:t xml:space="preserve">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άτομα </w:t>
      </w:r>
      <w:r w:rsidRPr="002E1FFE">
        <w:rPr>
          <w:rFonts w:ascii="Calibri" w:eastAsia="Calibri" w:hAnsi="Calibri" w:cs="Calibri"/>
          <w:color w:val="272727"/>
          <w:sz w:val="24"/>
          <w:szCs w:val="24"/>
          <w:lang w:val="el-GR"/>
        </w:rPr>
        <w:t xml:space="preserve">στεγάζονται με μη ΛΟΑΤΚΙ+ άτομα (εφεξής «μικτή στέγαση»). Συμφωνήθηκε ευρέως στις ομάδες εστίασης ότι η μικτή στέγαση, ιδιαίτερα σε καταυλισμούς, δεν επιτρέπει </w:t>
      </w:r>
      <w:r>
        <w:rPr>
          <w:rFonts w:ascii="Calibri" w:eastAsia="Calibri" w:hAnsi="Calibri" w:cs="Calibri"/>
          <w:color w:val="272727"/>
          <w:sz w:val="24"/>
          <w:szCs w:val="24"/>
          <w:lang w:val="el-GR"/>
        </w:rPr>
        <w:t>στους αιτούντες άσυλο</w:t>
      </w:r>
      <w:r w:rsidRPr="002E1FFE">
        <w:rPr>
          <w:rFonts w:ascii="Calibri" w:eastAsia="Calibri" w:hAnsi="Calibri" w:cs="Calibri"/>
          <w:color w:val="272727"/>
          <w:sz w:val="24"/>
          <w:szCs w:val="24"/>
          <w:lang w:val="el-GR"/>
        </w:rPr>
        <w:t xml:space="preserve"> να αισθάν</w:t>
      </w:r>
      <w:r>
        <w:rPr>
          <w:rFonts w:ascii="Calibri" w:eastAsia="Calibri" w:hAnsi="Calibri" w:cs="Calibri"/>
          <w:color w:val="272727"/>
          <w:sz w:val="24"/>
          <w:szCs w:val="24"/>
          <w:lang w:val="el-GR"/>
        </w:rPr>
        <w:t>ονται</w:t>
      </w:r>
      <w:r w:rsidRPr="002E1FFE">
        <w:rPr>
          <w:rFonts w:ascii="Calibri" w:eastAsia="Calibri" w:hAnsi="Calibri" w:cs="Calibri"/>
          <w:color w:val="272727"/>
          <w:sz w:val="24"/>
          <w:szCs w:val="24"/>
          <w:lang w:val="el-GR"/>
        </w:rPr>
        <w:t xml:space="preserve"> ασφαλ</w:t>
      </w:r>
      <w:r>
        <w:rPr>
          <w:rFonts w:ascii="Calibri" w:eastAsia="Calibri" w:hAnsi="Calibri" w:cs="Calibri"/>
          <w:color w:val="272727"/>
          <w:sz w:val="24"/>
          <w:szCs w:val="24"/>
          <w:lang w:val="el-GR"/>
        </w:rPr>
        <w:t>εί</w:t>
      </w:r>
      <w:r w:rsidRPr="002E1FFE">
        <w:rPr>
          <w:rFonts w:ascii="Calibri" w:eastAsia="Calibri" w:hAnsi="Calibri" w:cs="Calibri"/>
          <w:color w:val="272727"/>
          <w:sz w:val="24"/>
          <w:szCs w:val="24"/>
          <w:lang w:val="el-GR"/>
        </w:rPr>
        <w:t>ς ή να είναι ανοιχτ</w:t>
      </w:r>
      <w:r>
        <w:rPr>
          <w:rFonts w:ascii="Calibri" w:eastAsia="Calibri" w:hAnsi="Calibri" w:cs="Calibri"/>
          <w:color w:val="272727"/>
          <w:sz w:val="24"/>
          <w:szCs w:val="24"/>
          <w:lang w:val="el-GR"/>
        </w:rPr>
        <w:t>οί</w:t>
      </w:r>
      <w:r w:rsidRPr="002E1FFE">
        <w:rPr>
          <w:rFonts w:ascii="Calibri" w:eastAsia="Calibri" w:hAnsi="Calibri" w:cs="Calibri"/>
          <w:color w:val="272727"/>
          <w:sz w:val="24"/>
          <w:szCs w:val="24"/>
          <w:lang w:val="el-GR"/>
        </w:rPr>
        <w:t xml:space="preserve"> με την ταυτότητά του</w:t>
      </w:r>
      <w:r>
        <w:rPr>
          <w:rFonts w:ascii="Calibri" w:eastAsia="Calibri" w:hAnsi="Calibri" w:cs="Calibri"/>
          <w:color w:val="272727"/>
          <w:sz w:val="24"/>
          <w:szCs w:val="24"/>
          <w:lang w:val="el-GR"/>
        </w:rPr>
        <w:t>ς</w:t>
      </w:r>
      <w:r w:rsidRPr="002E1FFE">
        <w:rPr>
          <w:rFonts w:ascii="Calibri" w:eastAsia="Calibri" w:hAnsi="Calibri" w:cs="Calibri"/>
          <w:color w:val="272727"/>
          <w:sz w:val="24"/>
          <w:szCs w:val="24"/>
          <w:lang w:val="el-GR"/>
        </w:rPr>
        <w:t xml:space="preserve">. Κατά συνέπεια, οι άνθρωποι που έχουν εγκαταλείψει τις χώρες τους εξακολουθούν να πρέπει να κρύβονται και να κρύβουν την ταυτότητά τους ανά πάσα στιγμή. Τα ακόλουθα αποσπάσματα προέρχονται από άτομα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w:t>
      </w:r>
      <w:r w:rsidRPr="002E1FFE">
        <w:rPr>
          <w:rFonts w:ascii="Calibri" w:eastAsia="Calibri" w:hAnsi="Calibri" w:cs="Calibri"/>
          <w:color w:val="272727"/>
          <w:sz w:val="24"/>
          <w:szCs w:val="24"/>
          <w:lang w:val="el-GR"/>
        </w:rPr>
        <w:t>που ζουν σε μικτές κατοικίες:</w:t>
      </w:r>
    </w:p>
    <w:p w14:paraId="23A8101F" w14:textId="77777777" w:rsidR="002E1FFE" w:rsidRPr="002E1FFE" w:rsidRDefault="002E1FFE" w:rsidP="002E1FFE">
      <w:pPr>
        <w:spacing w:before="0"/>
        <w:jc w:val="both"/>
        <w:rPr>
          <w:rFonts w:ascii="Calibri" w:eastAsia="Calibri" w:hAnsi="Calibri" w:cs="Calibri"/>
          <w:color w:val="272727"/>
          <w:sz w:val="24"/>
          <w:szCs w:val="24"/>
          <w:lang w:val="el-GR"/>
        </w:rPr>
      </w:pPr>
    </w:p>
    <w:p w14:paraId="017F2944"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«Απλώς πρέπει να κρύψεις τον πραγματικό σου εαυτό, είναι σαν να είσαι σκιά του εαυτού σου».</w:t>
      </w:r>
    </w:p>
    <w:p w14:paraId="065ECB6E"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«Το να κρύβομαι στη χώρα μου και να κρύβομαι εδώ, δεν έχει διαφορά».</w:t>
      </w:r>
    </w:p>
    <w:p w14:paraId="487CE8E9" w14:textId="77777777" w:rsidR="002E1FFE" w:rsidRDefault="002E1FFE" w:rsidP="002E1FFE">
      <w:pPr>
        <w:spacing w:before="0"/>
        <w:jc w:val="both"/>
        <w:rPr>
          <w:rFonts w:ascii="Calibri" w:eastAsia="Calibri" w:hAnsi="Calibri" w:cs="Calibri"/>
          <w:color w:val="272727"/>
          <w:sz w:val="24"/>
          <w:szCs w:val="24"/>
          <w:lang w:val="el-GR"/>
        </w:rPr>
      </w:pPr>
    </w:p>
    <w:p w14:paraId="7DAEF780" w14:textId="4FB6CAE0"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Το κατάλυμα δεν προσφέρει ανάπαυλα από τις διακρίσεις, την απειλή ή το στίγμα, που έχει δυνητικά σοβαρές επιπτώσεις στην ψυχική υγεία</w:t>
      </w:r>
      <w:r w:rsidR="0080429D">
        <w:rPr>
          <w:rStyle w:val="FootnoteReference"/>
          <w:rFonts w:ascii="Calibri" w:eastAsia="Calibri" w:hAnsi="Calibri" w:cs="Calibri"/>
          <w:color w:val="272727"/>
          <w:sz w:val="24"/>
          <w:szCs w:val="24"/>
          <w:lang w:val="el-GR"/>
        </w:rPr>
        <w:footnoteReference w:id="1"/>
      </w:r>
      <w:r w:rsidRPr="002E1FFE">
        <w:rPr>
          <w:rFonts w:ascii="Calibri" w:eastAsia="Calibri" w:hAnsi="Calibri" w:cs="Calibri"/>
          <w:color w:val="272727"/>
          <w:sz w:val="24"/>
          <w:szCs w:val="24"/>
          <w:lang w:val="el-GR"/>
        </w:rPr>
        <w:t>.</w:t>
      </w:r>
    </w:p>
    <w:p w14:paraId="4AB8308E" w14:textId="77777777" w:rsidR="002E1FFE" w:rsidRDefault="002E1FFE" w:rsidP="002E1FFE">
      <w:pPr>
        <w:spacing w:before="0"/>
        <w:jc w:val="both"/>
        <w:rPr>
          <w:rFonts w:ascii="Calibri" w:eastAsia="Calibri" w:hAnsi="Calibri" w:cs="Calibri"/>
          <w:color w:val="272727"/>
          <w:sz w:val="24"/>
          <w:szCs w:val="24"/>
          <w:lang w:val="el-GR"/>
        </w:rPr>
      </w:pPr>
    </w:p>
    <w:p w14:paraId="3C59EC35" w14:textId="1A599596"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lastRenderedPageBreak/>
        <w:t>«</w:t>
      </w:r>
      <w:r>
        <w:rPr>
          <w:rFonts w:ascii="Calibri" w:eastAsia="Calibri" w:hAnsi="Calibri" w:cs="Calibri"/>
          <w:color w:val="272727"/>
          <w:sz w:val="24"/>
          <w:szCs w:val="24"/>
          <w:lang w:val="el-GR"/>
        </w:rPr>
        <w:t>Ο</w:t>
      </w:r>
      <w:r w:rsidRPr="002E1FFE">
        <w:rPr>
          <w:rFonts w:ascii="Calibri" w:eastAsia="Calibri" w:hAnsi="Calibri" w:cs="Calibri"/>
          <w:color w:val="272727"/>
          <w:sz w:val="24"/>
          <w:szCs w:val="24"/>
          <w:lang w:val="el-GR"/>
        </w:rPr>
        <w:t xml:space="preserve"> εξαναγκασμός κάποιου να αποκρύψει τον σεξουαλικό προσανατολισμό και/ή την ταυτότητα φύλου μπορεί επίσης να οδηγήσει σε σημαντικές ψυχολογικές και άλλες βλάβες». (Ευρωπαϊκό Δικαστήριο Ανθρωπίνων Δικαιωμάτων)</w:t>
      </w:r>
    </w:p>
    <w:p w14:paraId="60C78DD6" w14:textId="7F27B689"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Το να περιμένουμε από τους ανθρώπους να αποκρύψουν τον σεξουαλικό προσανατολισμό ή την ταυτότητα φύλου τους για να αποφύγουν τη ζημιά είναι αντίθετη με τα ανθρώπινα δικαιώματα των αιτούντων, όπως αναγνωρίζονται από το Ευρωπαϊκό Δικαστήριο Ανθρωπίνων Δικαιωμάτων, το Δικαστήριο της ΕΕ και την Ελληνική Επιτροπή Ειδικών Εφετών</w:t>
      </w:r>
      <w:r w:rsidR="0080429D">
        <w:rPr>
          <w:rStyle w:val="FootnoteReference"/>
          <w:rFonts w:ascii="Calibri" w:eastAsia="Calibri" w:hAnsi="Calibri" w:cs="Calibri"/>
          <w:color w:val="272727"/>
          <w:sz w:val="24"/>
          <w:szCs w:val="24"/>
          <w:lang w:val="el-GR"/>
        </w:rPr>
        <w:footnoteReference w:id="2"/>
      </w:r>
      <w:r w:rsidRPr="002E1FFE">
        <w:rPr>
          <w:rFonts w:ascii="Calibri" w:eastAsia="Calibri" w:hAnsi="Calibri" w:cs="Calibri"/>
          <w:color w:val="272727"/>
          <w:sz w:val="24"/>
          <w:szCs w:val="24"/>
          <w:lang w:val="el-GR"/>
        </w:rPr>
        <w:t>.</w:t>
      </w:r>
    </w:p>
    <w:p w14:paraId="2FCA3D13" w14:textId="77777777" w:rsidR="002E1FFE" w:rsidRDefault="002E1FFE" w:rsidP="002E1FFE">
      <w:pPr>
        <w:spacing w:before="0"/>
        <w:jc w:val="both"/>
        <w:rPr>
          <w:rFonts w:ascii="Calibri" w:eastAsia="Calibri" w:hAnsi="Calibri" w:cs="Calibri"/>
          <w:color w:val="272727"/>
          <w:sz w:val="24"/>
          <w:szCs w:val="24"/>
          <w:lang w:val="el-GR"/>
        </w:rPr>
      </w:pPr>
    </w:p>
    <w:p w14:paraId="629929C0" w14:textId="79CC5AF4" w:rsidR="002E1FFE" w:rsidRPr="00430BCF" w:rsidRDefault="002E1FFE" w:rsidP="002E1FFE">
      <w:pPr>
        <w:spacing w:before="0"/>
        <w:jc w:val="both"/>
        <w:rPr>
          <w:rFonts w:ascii="Calibri" w:eastAsia="Calibri" w:hAnsi="Calibri" w:cs="Calibri"/>
          <w:b/>
          <w:bCs/>
          <w:color w:val="272727"/>
          <w:sz w:val="24"/>
          <w:szCs w:val="24"/>
          <w:lang w:val="el-GR"/>
        </w:rPr>
      </w:pPr>
      <w:r w:rsidRPr="00430BCF">
        <w:rPr>
          <w:rFonts w:ascii="Calibri" w:eastAsia="Calibri" w:hAnsi="Calibri" w:cs="Calibri"/>
          <w:b/>
          <w:bCs/>
          <w:color w:val="272727"/>
          <w:sz w:val="24"/>
          <w:szCs w:val="24"/>
          <w:lang w:val="el-GR"/>
        </w:rPr>
        <w:t>Συνιστάται λοιπόν:</w:t>
      </w:r>
    </w:p>
    <w:p w14:paraId="28E390E1" w14:textId="771DBE89"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1. Όπου η κύρια στέγαση είναι </w:t>
      </w:r>
      <w:r>
        <w:rPr>
          <w:rFonts w:ascii="Calibri" w:eastAsia="Calibri" w:hAnsi="Calibri" w:cs="Calibri"/>
          <w:color w:val="272727"/>
          <w:sz w:val="24"/>
          <w:szCs w:val="24"/>
          <w:lang w:val="el-GR"/>
        </w:rPr>
        <w:t>σε καμπ</w:t>
      </w:r>
      <w:r w:rsidRPr="002E1FFE">
        <w:rPr>
          <w:rFonts w:ascii="Calibri" w:eastAsia="Calibri" w:hAnsi="Calibri" w:cs="Calibri"/>
          <w:color w:val="272727"/>
          <w:sz w:val="24"/>
          <w:szCs w:val="24"/>
          <w:lang w:val="el-GR"/>
        </w:rPr>
        <w:t xml:space="preserve">, θα πρέπει να γίνονται προσπάθειες για να διασφαλιστεί ότι η μετεγκατάσταση σε στέγαση ειδική για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w:t>
      </w:r>
      <w:r w:rsidRPr="002E1FFE">
        <w:rPr>
          <w:rFonts w:ascii="Calibri" w:eastAsia="Calibri" w:hAnsi="Calibri" w:cs="Calibri"/>
          <w:color w:val="272727"/>
          <w:sz w:val="24"/>
          <w:szCs w:val="24"/>
          <w:lang w:val="el-GR"/>
        </w:rPr>
        <w:t>στην τοπική πόλη ή κωμόπολη</w:t>
      </w:r>
      <w:r>
        <w:rPr>
          <w:rFonts w:ascii="Calibri" w:eastAsia="Calibri" w:hAnsi="Calibri" w:cs="Calibri"/>
          <w:color w:val="272727"/>
          <w:sz w:val="24"/>
          <w:szCs w:val="24"/>
          <w:lang w:val="el-GR"/>
        </w:rPr>
        <w:t>, με τρόπο εμπιστευτικό και διακριτικό,</w:t>
      </w:r>
      <w:r w:rsidRPr="002E1FFE">
        <w:rPr>
          <w:rFonts w:ascii="Calibri" w:eastAsia="Calibri" w:hAnsi="Calibri" w:cs="Calibri"/>
          <w:color w:val="272727"/>
          <w:sz w:val="24"/>
          <w:szCs w:val="24"/>
          <w:lang w:val="el-GR"/>
        </w:rPr>
        <w:t xml:space="preserve"> είναι μια διαθέσιμη και προσβάσιμη επιλογή.</w:t>
      </w:r>
    </w:p>
    <w:p w14:paraId="3D39D152" w14:textId="309FA22F"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2. Σε περιπτώσεις όπου δεν είναι δυνατή η μετεγκατάσταση ατόμων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w:t>
      </w:r>
      <w:r w:rsidRPr="002E1FFE">
        <w:rPr>
          <w:rFonts w:ascii="Calibri" w:eastAsia="Calibri" w:hAnsi="Calibri" w:cs="Calibri"/>
          <w:color w:val="272727"/>
          <w:sz w:val="24"/>
          <w:szCs w:val="24"/>
          <w:lang w:val="el-GR"/>
        </w:rPr>
        <w:t>σε συγκεκριμένες κατοικίες, απαιτούνται βελτιώσεις στο πλαίσιο τ</w:t>
      </w:r>
      <w:r>
        <w:rPr>
          <w:rFonts w:ascii="Calibri" w:eastAsia="Calibri" w:hAnsi="Calibri" w:cs="Calibri"/>
          <w:color w:val="272727"/>
          <w:sz w:val="24"/>
          <w:szCs w:val="24"/>
          <w:lang w:val="el-GR"/>
        </w:rPr>
        <w:t>ου καμπ</w:t>
      </w:r>
      <w:r w:rsidRPr="002E1FFE">
        <w:rPr>
          <w:rFonts w:ascii="Calibri" w:eastAsia="Calibri" w:hAnsi="Calibri" w:cs="Calibri"/>
          <w:color w:val="272727"/>
          <w:sz w:val="24"/>
          <w:szCs w:val="24"/>
          <w:lang w:val="el-GR"/>
        </w:rPr>
        <w:t xml:space="preserve">. Για παράδειγμα, η διασφάλιση αυξημένης ιδιωτικότητας ή η δημιουργία ασφαλών χώρων </w:t>
      </w:r>
      <w:r>
        <w:rPr>
          <w:rFonts w:ascii="Calibri" w:eastAsia="Calibri" w:hAnsi="Calibri" w:cs="Calibri"/>
          <w:color w:val="272727"/>
          <w:sz w:val="24"/>
          <w:szCs w:val="24"/>
          <w:lang w:val="el-GR"/>
        </w:rPr>
        <w:t xml:space="preserve">στο καμπ </w:t>
      </w:r>
      <w:r w:rsidRPr="002E1FFE">
        <w:rPr>
          <w:rFonts w:ascii="Calibri" w:eastAsia="Calibri" w:hAnsi="Calibri" w:cs="Calibri"/>
          <w:color w:val="272727"/>
          <w:sz w:val="24"/>
          <w:szCs w:val="24"/>
          <w:lang w:val="el-GR"/>
        </w:rPr>
        <w:t xml:space="preserve"> θα ήταν εξαιρετικά χρήσιμη. Επιπλέον, η διαμονή με λιγότερα άτομα που συγκατοικούν στον ίδιο χώρο μπορεί να μειώσει τον κίνδυνο.</w:t>
      </w:r>
    </w:p>
    <w:p w14:paraId="6E1FF880" w14:textId="4B238953"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3. Όταν το κύριο κατάλυμα είναι κοινόχρηστη κατοικία σε μια πόλη ή πόλη, θα πρέπει να διασφαλίζεται ότι θα πρέπει να διατίθεται διακριτική στέγαση μόνο </w:t>
      </w:r>
      <w:r>
        <w:rPr>
          <w:rFonts w:ascii="Calibri" w:eastAsia="Calibri" w:hAnsi="Calibri" w:cs="Calibri"/>
          <w:color w:val="272727"/>
          <w:sz w:val="24"/>
          <w:szCs w:val="24"/>
          <w:lang w:val="el-GR"/>
        </w:rPr>
        <w:t xml:space="preserve">για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w:t>
      </w:r>
      <w:r>
        <w:rPr>
          <w:rFonts w:ascii="Calibri" w:eastAsia="Calibri" w:hAnsi="Calibri" w:cs="Calibri"/>
          <w:color w:val="272727"/>
          <w:sz w:val="24"/>
          <w:szCs w:val="24"/>
          <w:lang w:val="el-GR"/>
        </w:rPr>
        <w:t>άτομα</w:t>
      </w:r>
      <w:r w:rsidRPr="002E1FFE">
        <w:rPr>
          <w:rFonts w:ascii="Calibri" w:eastAsia="Calibri" w:hAnsi="Calibri" w:cs="Calibri"/>
          <w:color w:val="272727"/>
          <w:sz w:val="24"/>
          <w:szCs w:val="24"/>
          <w:lang w:val="el-GR"/>
        </w:rPr>
        <w:t>.</w:t>
      </w:r>
    </w:p>
    <w:p w14:paraId="5B8D2BCD" w14:textId="77777777" w:rsidR="002E1FFE" w:rsidRPr="002E1FFE" w:rsidRDefault="002E1FFE" w:rsidP="002E1FFE">
      <w:pPr>
        <w:spacing w:before="0"/>
        <w:jc w:val="both"/>
        <w:rPr>
          <w:rFonts w:ascii="Calibri" w:eastAsia="Calibri" w:hAnsi="Calibri" w:cs="Calibri"/>
          <w:color w:val="272727"/>
          <w:sz w:val="24"/>
          <w:szCs w:val="24"/>
          <w:lang w:val="el-GR"/>
        </w:rPr>
      </w:pPr>
    </w:p>
    <w:p w14:paraId="51D6477D" w14:textId="77777777" w:rsidR="002E1FFE" w:rsidRPr="002E1FFE" w:rsidRDefault="002E1FFE" w:rsidP="002E1FFE">
      <w:pPr>
        <w:pStyle w:val="Heading1"/>
        <w:spacing w:before="0"/>
        <w:jc w:val="both"/>
        <w:rPr>
          <w:rFonts w:ascii="Calibri" w:hAnsi="Calibri" w:cs="Calibri"/>
          <w:color w:val="980000"/>
        </w:rPr>
      </w:pPr>
      <w:r w:rsidRPr="002E1FFE">
        <w:rPr>
          <w:rFonts w:ascii="Calibri" w:hAnsi="Calibri" w:cs="Calibri"/>
          <w:color w:val="980000"/>
        </w:rPr>
        <w:t>Υπηρεσίες και Υποστήριξη</w:t>
      </w:r>
    </w:p>
    <w:p w14:paraId="24817575" w14:textId="643869E4" w:rsid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Μέσα από συζητήσεις με θιγόμενους αιτούντες, αποκαλύφθηκε ότι ελάχιστοι από </w:t>
      </w:r>
      <w:r w:rsidR="00430BCF">
        <w:rPr>
          <w:rFonts w:ascii="Calibri" w:eastAsia="Calibri" w:hAnsi="Calibri" w:cs="Calibri"/>
          <w:color w:val="272727"/>
          <w:sz w:val="24"/>
          <w:szCs w:val="24"/>
          <w:lang w:val="el-GR"/>
        </w:rPr>
        <w:t xml:space="preserve">τα αιτούντα άσυλο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άτομα </w:t>
      </w:r>
      <w:r w:rsidRPr="002E1FFE">
        <w:rPr>
          <w:rFonts w:ascii="Calibri" w:eastAsia="Calibri" w:hAnsi="Calibri" w:cs="Calibri"/>
          <w:color w:val="272727"/>
          <w:sz w:val="24"/>
          <w:szCs w:val="24"/>
          <w:lang w:val="el-GR"/>
        </w:rPr>
        <w:t xml:space="preserve">γνωρίζουν ή είχαν την ευκαιρία να μιλήσουν με ψυχολόγο του ΕΟΔΥ. Όσοι δήλωσαν ότι δεν υπήρχαν αρκετοί ψυχολόγοι για τον αριθμό των αιτούντων που χρειάζονταν υποστήριξη </w:t>
      </w:r>
      <w:r w:rsidR="008B4560">
        <w:rPr>
          <w:rFonts w:ascii="Calibri" w:eastAsia="Calibri" w:hAnsi="Calibri" w:cs="Calibri"/>
          <w:color w:val="272727"/>
          <w:sz w:val="24"/>
          <w:szCs w:val="24"/>
          <w:lang w:val="el-GR"/>
        </w:rPr>
        <w:t xml:space="preserve">επίσης δήλωσαν ότι </w:t>
      </w:r>
      <w:r w:rsidRPr="002E1FFE">
        <w:rPr>
          <w:rFonts w:ascii="Calibri" w:eastAsia="Calibri" w:hAnsi="Calibri" w:cs="Calibri"/>
          <w:color w:val="272727"/>
          <w:sz w:val="24"/>
          <w:szCs w:val="24"/>
          <w:lang w:val="el-GR"/>
        </w:rPr>
        <w:t xml:space="preserve">η υποστήριξη που </w:t>
      </w:r>
      <w:r w:rsidR="008B4560">
        <w:rPr>
          <w:rFonts w:ascii="Calibri" w:eastAsia="Calibri" w:hAnsi="Calibri" w:cs="Calibri"/>
          <w:color w:val="272727"/>
          <w:sz w:val="24"/>
          <w:szCs w:val="24"/>
          <w:lang w:val="el-GR"/>
        </w:rPr>
        <w:t>παρείχετο</w:t>
      </w:r>
      <w:r w:rsidRPr="002E1FFE">
        <w:rPr>
          <w:rFonts w:ascii="Calibri" w:eastAsia="Calibri" w:hAnsi="Calibri" w:cs="Calibri"/>
          <w:color w:val="272727"/>
          <w:sz w:val="24"/>
          <w:szCs w:val="24"/>
          <w:lang w:val="el-GR"/>
        </w:rPr>
        <w:t xml:space="preserve"> δεν ήταν εξειδικευμένη στα θέματα που αφορούν μοναδικά </w:t>
      </w:r>
      <w:r w:rsidR="008B4560">
        <w:rPr>
          <w:rFonts w:ascii="Calibri" w:eastAsia="Calibri" w:hAnsi="Calibri" w:cs="Calibri"/>
          <w:color w:val="272727"/>
          <w:sz w:val="24"/>
          <w:szCs w:val="24"/>
          <w:lang w:val="el-GR"/>
        </w:rPr>
        <w:t>σ</w:t>
      </w:r>
      <w:r w:rsidRPr="002E1FFE">
        <w:rPr>
          <w:rFonts w:ascii="Calibri" w:eastAsia="Calibri" w:hAnsi="Calibri" w:cs="Calibri"/>
          <w:color w:val="272727"/>
          <w:sz w:val="24"/>
          <w:szCs w:val="24"/>
          <w:lang w:val="el-GR"/>
        </w:rPr>
        <w:t xml:space="preserve">τα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w:t>
      </w:r>
      <w:r w:rsidRPr="002E1FFE">
        <w:rPr>
          <w:rFonts w:ascii="Calibri" w:eastAsia="Calibri" w:hAnsi="Calibri" w:cs="Calibri"/>
          <w:color w:val="272727"/>
          <w:sz w:val="24"/>
          <w:szCs w:val="24"/>
          <w:lang w:val="el-GR"/>
        </w:rPr>
        <w:t>άτομα.</w:t>
      </w:r>
    </w:p>
    <w:p w14:paraId="60DC7061" w14:textId="77777777" w:rsidR="008B4560" w:rsidRPr="002E1FFE" w:rsidRDefault="008B4560" w:rsidP="002E1FFE">
      <w:pPr>
        <w:spacing w:before="0"/>
        <w:jc w:val="both"/>
        <w:rPr>
          <w:rFonts w:ascii="Calibri" w:eastAsia="Calibri" w:hAnsi="Calibri" w:cs="Calibri"/>
          <w:color w:val="272727"/>
          <w:sz w:val="24"/>
          <w:szCs w:val="24"/>
          <w:lang w:val="el-GR"/>
        </w:rPr>
      </w:pPr>
    </w:p>
    <w:p w14:paraId="1583C453" w14:textId="0F1C9338" w:rsidR="002E1FFE" w:rsidRPr="00430BCF"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Σημειώθηκε περαιτέρω ότι ένα εστιακό σημείο στ</w:t>
      </w:r>
      <w:r w:rsidR="008B4560">
        <w:rPr>
          <w:rFonts w:ascii="Calibri" w:eastAsia="Calibri" w:hAnsi="Calibri" w:cs="Calibri"/>
          <w:color w:val="272727"/>
          <w:sz w:val="24"/>
          <w:szCs w:val="24"/>
          <w:lang w:val="el-GR"/>
        </w:rPr>
        <w:t>ην Υπηρεσία Υποδοχής και Ταυτοποίησης (ΥΠΥΤ)</w:t>
      </w:r>
      <w:r w:rsidRPr="002E1FFE">
        <w:rPr>
          <w:rFonts w:ascii="Calibri" w:eastAsia="Calibri" w:hAnsi="Calibri" w:cs="Calibri"/>
          <w:color w:val="272727"/>
          <w:sz w:val="24"/>
          <w:szCs w:val="24"/>
          <w:lang w:val="el-GR"/>
        </w:rPr>
        <w:t xml:space="preserve">, </w:t>
      </w:r>
      <w:r w:rsidR="008B4560">
        <w:rPr>
          <w:rFonts w:ascii="Calibri" w:eastAsia="Calibri" w:hAnsi="Calibri" w:cs="Calibri"/>
          <w:color w:val="272727"/>
          <w:sz w:val="24"/>
          <w:szCs w:val="24"/>
          <w:lang w:val="el-GR"/>
        </w:rPr>
        <w:t xml:space="preserve">την Ελληνική Υπηρεσία Ασύλου </w:t>
      </w:r>
      <w:r w:rsidRPr="002E1FFE">
        <w:rPr>
          <w:rFonts w:ascii="Calibri" w:eastAsia="Calibri" w:hAnsi="Calibri" w:cs="Calibri"/>
          <w:color w:val="272727"/>
          <w:sz w:val="24"/>
          <w:szCs w:val="24"/>
          <w:lang w:val="el-GR"/>
        </w:rPr>
        <w:t xml:space="preserve">ή αλλού που θα μπορούσε να προσεγγιστεί εάν υπήρχε πρόβλημα, θα συνέβαλε σε έναν ασφαλέστερο χώρο. Το σημείο εστίασης πρέπει να είναι διακριτικό και ευαισθητοποιημένο σε θέματα </w:t>
      </w:r>
      <w:r w:rsidR="00430BCF">
        <w:rPr>
          <w:rFonts w:ascii="Calibri" w:eastAsia="Calibri" w:hAnsi="Calibri" w:cs="Calibri"/>
          <w:color w:val="272727"/>
          <w:sz w:val="24"/>
          <w:szCs w:val="24"/>
          <w:lang w:val="el-GR"/>
        </w:rPr>
        <w:t xml:space="preserve">ΛΟΑΤΚΙ+. </w:t>
      </w:r>
    </w:p>
    <w:p w14:paraId="7B0F6E2E"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Σύμφωνα με αυτές τις παρατηρήσεις, συνιστάται:</w:t>
      </w:r>
    </w:p>
    <w:p w14:paraId="1A02C63C" w14:textId="56487C1F"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1. Τουλάχιστον, θα πρέπει να παρέχεται εκπαίδευση σε όλο το προσωπικό που εργάζεται απευθείας με αιτούντες άσυλο σχετικά με τις ιδιαιτερότητες των αιτημάτων ασύλου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w:t>
      </w:r>
      <w:r w:rsidRPr="002E1FFE">
        <w:rPr>
          <w:rFonts w:ascii="Calibri" w:eastAsia="Calibri" w:hAnsi="Calibri" w:cs="Calibri"/>
          <w:color w:val="272727"/>
          <w:sz w:val="24"/>
          <w:szCs w:val="24"/>
          <w:lang w:val="el-GR"/>
        </w:rPr>
        <w:t xml:space="preserve">(συμπεριλαμβανομένων </w:t>
      </w:r>
      <w:r w:rsidR="008B4560">
        <w:rPr>
          <w:rFonts w:ascii="Calibri" w:eastAsia="Calibri" w:hAnsi="Calibri" w:cs="Calibri"/>
          <w:color w:val="272727"/>
          <w:sz w:val="24"/>
          <w:szCs w:val="24"/>
          <w:lang w:val="el-GR"/>
        </w:rPr>
        <w:t>της ΥΠΥΤ</w:t>
      </w:r>
      <w:r w:rsidRPr="002E1FFE">
        <w:rPr>
          <w:rFonts w:ascii="Calibri" w:eastAsia="Calibri" w:hAnsi="Calibri" w:cs="Calibri"/>
          <w:color w:val="272727"/>
          <w:sz w:val="24"/>
          <w:szCs w:val="24"/>
          <w:lang w:val="el-GR"/>
        </w:rPr>
        <w:t xml:space="preserve"> και του καθορισμένου προσωπικού του ΕΟΔΥ).</w:t>
      </w:r>
    </w:p>
    <w:p w14:paraId="777BB872" w14:textId="29D65124" w:rsidR="002E1FFE" w:rsidRPr="00430BCF"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2. Επιπλέον, σε κάθε </w:t>
      </w:r>
      <w:r w:rsidR="008B4560">
        <w:rPr>
          <w:rFonts w:ascii="Calibri" w:eastAsia="Calibri" w:hAnsi="Calibri" w:cs="Calibri"/>
          <w:color w:val="272727"/>
          <w:sz w:val="24"/>
          <w:szCs w:val="24"/>
          <w:lang w:val="el-GR"/>
        </w:rPr>
        <w:t>καμπ</w:t>
      </w:r>
      <w:r w:rsidRPr="002E1FFE">
        <w:rPr>
          <w:rFonts w:ascii="Calibri" w:eastAsia="Calibri" w:hAnsi="Calibri" w:cs="Calibri"/>
          <w:color w:val="272727"/>
          <w:sz w:val="24"/>
          <w:szCs w:val="24"/>
          <w:lang w:val="el-GR"/>
        </w:rPr>
        <w:t xml:space="preserve"> </w:t>
      </w:r>
      <w:r w:rsidR="008B4560">
        <w:rPr>
          <w:rFonts w:ascii="Calibri" w:eastAsia="Calibri" w:hAnsi="Calibri" w:cs="Calibri"/>
          <w:color w:val="272727"/>
          <w:sz w:val="24"/>
          <w:szCs w:val="24"/>
          <w:lang w:val="el-GR"/>
        </w:rPr>
        <w:t>ν</w:t>
      </w:r>
      <w:r w:rsidRPr="002E1FFE">
        <w:rPr>
          <w:rFonts w:ascii="Calibri" w:eastAsia="Calibri" w:hAnsi="Calibri" w:cs="Calibri"/>
          <w:color w:val="272727"/>
          <w:sz w:val="24"/>
          <w:szCs w:val="24"/>
          <w:lang w:val="el-GR"/>
        </w:rPr>
        <w:t>α δημιουργηθεί ειδικό σημείο εστίασης με υπηρεσίες πληροφόρησης και παραπομπής για ψυχοκοινωνική υποστήριξη για αιτούντες</w:t>
      </w:r>
      <w:r w:rsidR="008B4560">
        <w:rPr>
          <w:rFonts w:ascii="Calibri" w:eastAsia="Calibri" w:hAnsi="Calibri" w:cs="Calibri"/>
          <w:color w:val="272727"/>
          <w:sz w:val="24"/>
          <w:szCs w:val="24"/>
          <w:lang w:val="el-GR"/>
        </w:rPr>
        <w:t xml:space="preserve"> άσυλο</w:t>
      </w:r>
      <w:r w:rsidRPr="002E1FFE">
        <w:rPr>
          <w:rFonts w:ascii="Calibri" w:eastAsia="Calibri" w:hAnsi="Calibri" w:cs="Calibri"/>
          <w:color w:val="272727"/>
          <w:sz w:val="24"/>
          <w:szCs w:val="24"/>
          <w:lang w:val="el-GR"/>
        </w:rPr>
        <w:t xml:space="preserve"> </w:t>
      </w:r>
      <w:r w:rsidR="00430BCF">
        <w:rPr>
          <w:rFonts w:ascii="Calibri" w:eastAsia="Calibri" w:hAnsi="Calibri" w:cs="Calibri"/>
          <w:color w:val="272727"/>
          <w:sz w:val="24"/>
          <w:szCs w:val="24"/>
          <w:lang w:val="el-GR"/>
        </w:rPr>
        <w:t>ΛΟΑΤΚΙ+.</w:t>
      </w:r>
    </w:p>
    <w:p w14:paraId="605FE6A5" w14:textId="77777777" w:rsidR="002E1FFE" w:rsidRPr="002E1FFE" w:rsidRDefault="002E1FFE" w:rsidP="002E1FFE">
      <w:pPr>
        <w:spacing w:before="0"/>
        <w:jc w:val="both"/>
        <w:rPr>
          <w:rFonts w:ascii="Calibri" w:eastAsia="Calibri" w:hAnsi="Calibri" w:cs="Calibri"/>
          <w:color w:val="272727"/>
          <w:sz w:val="24"/>
          <w:szCs w:val="24"/>
          <w:lang w:val="el-GR"/>
        </w:rPr>
      </w:pPr>
    </w:p>
    <w:p w14:paraId="5A20443F" w14:textId="77777777" w:rsidR="002E1FFE" w:rsidRPr="008B4560" w:rsidRDefault="002E1FFE" w:rsidP="002E1FFE">
      <w:pPr>
        <w:spacing w:before="0"/>
        <w:jc w:val="both"/>
        <w:rPr>
          <w:rFonts w:ascii="Calibri" w:eastAsia="PT Sans Narrow" w:hAnsi="Calibri" w:cs="Calibri"/>
          <w:b/>
          <w:color w:val="980000"/>
          <w:sz w:val="36"/>
          <w:szCs w:val="36"/>
        </w:rPr>
      </w:pPr>
      <w:r w:rsidRPr="008B4560">
        <w:rPr>
          <w:rFonts w:ascii="Calibri" w:eastAsia="PT Sans Narrow" w:hAnsi="Calibri" w:cs="Calibri"/>
          <w:b/>
          <w:color w:val="980000"/>
          <w:sz w:val="36"/>
          <w:szCs w:val="36"/>
        </w:rPr>
        <w:t>Διαδικασία Ασύλου</w:t>
      </w:r>
    </w:p>
    <w:p w14:paraId="22E70BD7" w14:textId="481D195D"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Η λεπτομερής διαδικασία που απαιτείται για την αξιολόγηση των υποθέσεων ασύλου με βάση τον σεξουαλικό προσανατολισμό, την ταυτότητα φύλου, την έκφραση φύλου ή τα χαρακτηριστικά του φύλου (</w:t>
      </w:r>
      <w:proofErr w:type="spellStart"/>
      <w:r w:rsidRPr="002E1FFE">
        <w:rPr>
          <w:rFonts w:ascii="Calibri" w:eastAsia="Calibri" w:hAnsi="Calibri" w:cs="Calibri"/>
          <w:color w:val="272727"/>
          <w:sz w:val="24"/>
          <w:szCs w:val="24"/>
        </w:rPr>
        <w:t>SOGIESC</w:t>
      </w:r>
      <w:proofErr w:type="spellEnd"/>
      <w:r w:rsidRPr="002E1FFE">
        <w:rPr>
          <w:rFonts w:ascii="Calibri" w:eastAsia="Calibri" w:hAnsi="Calibri" w:cs="Calibri"/>
          <w:color w:val="272727"/>
          <w:sz w:val="24"/>
          <w:szCs w:val="24"/>
          <w:lang w:val="el-GR"/>
        </w:rPr>
        <w:t xml:space="preserve">) μπορεί να είναι αναμφισβήτητα δύσκολη για </w:t>
      </w:r>
      <w:r w:rsidR="008B4560">
        <w:rPr>
          <w:rFonts w:ascii="Calibri" w:eastAsia="Calibri" w:hAnsi="Calibri" w:cs="Calibri"/>
          <w:color w:val="272727"/>
          <w:sz w:val="24"/>
          <w:szCs w:val="24"/>
          <w:lang w:val="el-GR"/>
        </w:rPr>
        <w:t>τους αιτούντες άσυλο</w:t>
      </w:r>
      <w:r w:rsidRPr="002E1FFE">
        <w:rPr>
          <w:rFonts w:ascii="Calibri" w:eastAsia="Calibri" w:hAnsi="Calibri" w:cs="Calibri"/>
          <w:color w:val="272727"/>
          <w:sz w:val="24"/>
          <w:szCs w:val="24"/>
          <w:lang w:val="el-GR"/>
        </w:rPr>
        <w:t xml:space="preserve">, ιδιαίτερα όταν ένα άτομο μπορεί </w:t>
      </w:r>
      <w:r w:rsidR="008B4560">
        <w:rPr>
          <w:rFonts w:ascii="Calibri" w:eastAsia="Calibri" w:hAnsi="Calibri" w:cs="Calibri"/>
          <w:color w:val="272727"/>
          <w:sz w:val="24"/>
          <w:szCs w:val="24"/>
          <w:lang w:val="el-GR"/>
        </w:rPr>
        <w:t>υποβάλλεται σε εκ νέου τραύμα</w:t>
      </w:r>
      <w:r w:rsidRPr="002E1FFE">
        <w:rPr>
          <w:rFonts w:ascii="Calibri" w:eastAsia="Calibri" w:hAnsi="Calibri" w:cs="Calibri"/>
          <w:color w:val="272727"/>
          <w:sz w:val="24"/>
          <w:szCs w:val="24"/>
          <w:lang w:val="el-GR"/>
        </w:rPr>
        <w:t>. Αναγνωρίζεται και κατανοείται ότι είναι απαραίτητη μια διεξοδική διαδικασία για την πλήρη αξιολόγηση τ</w:t>
      </w:r>
      <w:r w:rsidR="008B4560">
        <w:rPr>
          <w:rFonts w:ascii="Calibri" w:eastAsia="Calibri" w:hAnsi="Calibri" w:cs="Calibri"/>
          <w:color w:val="272727"/>
          <w:sz w:val="24"/>
          <w:szCs w:val="24"/>
          <w:lang w:val="el-GR"/>
        </w:rPr>
        <w:t>ου αιτήματος</w:t>
      </w:r>
      <w:r w:rsidRPr="002E1FFE">
        <w:rPr>
          <w:rFonts w:ascii="Calibri" w:eastAsia="Calibri" w:hAnsi="Calibri" w:cs="Calibri"/>
          <w:color w:val="272727"/>
          <w:sz w:val="24"/>
          <w:szCs w:val="24"/>
          <w:lang w:val="el-GR"/>
        </w:rPr>
        <w:t>. Ωστόσο, είναι δυνατό να διεξαχθεί μια τέτοια αξιολόγηση χωρίς να προκληθεί περαιτέρω τραυματισμός.</w:t>
      </w:r>
    </w:p>
    <w:p w14:paraId="14BE009D" w14:textId="32821C06"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Λόγω της προσωπικής και ευαίσθητης φύσης </w:t>
      </w:r>
      <w:r w:rsidR="008B4560">
        <w:rPr>
          <w:rFonts w:ascii="Calibri" w:eastAsia="Calibri" w:hAnsi="Calibri" w:cs="Calibri"/>
          <w:color w:val="272727"/>
          <w:sz w:val="24"/>
          <w:szCs w:val="24"/>
          <w:lang w:val="el-GR"/>
        </w:rPr>
        <w:t>του αιτήματος</w:t>
      </w:r>
      <w:r w:rsidRPr="002E1FFE">
        <w:rPr>
          <w:rFonts w:ascii="Calibri" w:eastAsia="Calibri" w:hAnsi="Calibri" w:cs="Calibri"/>
          <w:color w:val="272727"/>
          <w:sz w:val="24"/>
          <w:szCs w:val="24"/>
          <w:lang w:val="el-GR"/>
        </w:rPr>
        <w:t xml:space="preserve">, παρέχεται </w:t>
      </w:r>
      <w:r w:rsidR="00430BCF">
        <w:rPr>
          <w:rFonts w:ascii="Calibri" w:eastAsia="Calibri" w:hAnsi="Calibri" w:cs="Calibri"/>
          <w:color w:val="272727"/>
          <w:sz w:val="24"/>
          <w:szCs w:val="24"/>
          <w:lang w:val="el-GR"/>
        </w:rPr>
        <w:t>στα αιτούντα</w:t>
      </w:r>
      <w:r w:rsidRPr="002E1FFE">
        <w:rPr>
          <w:rFonts w:ascii="Calibri" w:eastAsia="Calibri" w:hAnsi="Calibri" w:cs="Calibri"/>
          <w:color w:val="272727"/>
          <w:sz w:val="24"/>
          <w:szCs w:val="24"/>
          <w:lang w:val="el-GR"/>
        </w:rPr>
        <w:t xml:space="preserve">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άτομα </w:t>
      </w:r>
      <w:r w:rsidRPr="002E1FFE">
        <w:rPr>
          <w:rFonts w:ascii="Calibri" w:eastAsia="Calibri" w:hAnsi="Calibri" w:cs="Calibri"/>
          <w:color w:val="272727"/>
          <w:sz w:val="24"/>
          <w:szCs w:val="24"/>
          <w:lang w:val="el-GR"/>
        </w:rPr>
        <w:t>ειδική προστασία βάσει της ευρωπαϊκής και της ελληνικής νομοθεσίας. Η Ευρωπαϊκή Ένωση, μέσω της νομολογίας του Δικαστηρίου της ΕΕ</w:t>
      </w:r>
      <w:r w:rsidR="0080429D">
        <w:rPr>
          <w:rStyle w:val="FootnoteReference"/>
          <w:rFonts w:ascii="Calibri" w:eastAsia="Calibri" w:hAnsi="Calibri" w:cs="Calibri"/>
          <w:color w:val="272727"/>
          <w:sz w:val="24"/>
          <w:szCs w:val="24"/>
          <w:lang w:val="el-GR"/>
        </w:rPr>
        <w:footnoteReference w:id="3"/>
      </w:r>
      <w:r w:rsidRPr="002E1FFE">
        <w:rPr>
          <w:rFonts w:ascii="Calibri" w:eastAsia="Calibri" w:hAnsi="Calibri" w:cs="Calibri"/>
          <w:color w:val="272727"/>
          <w:sz w:val="24"/>
          <w:szCs w:val="24"/>
          <w:lang w:val="el-GR"/>
        </w:rPr>
        <w:t xml:space="preserve"> καθώς και των Οδηγιών της ΕΕ</w:t>
      </w:r>
      <w:r w:rsidR="0080429D">
        <w:rPr>
          <w:rStyle w:val="FootnoteReference"/>
          <w:rFonts w:ascii="Calibri" w:eastAsia="Calibri" w:hAnsi="Calibri" w:cs="Calibri"/>
          <w:color w:val="272727"/>
          <w:sz w:val="24"/>
          <w:szCs w:val="24"/>
          <w:lang w:val="el-GR"/>
        </w:rPr>
        <w:footnoteReference w:id="4"/>
      </w:r>
      <w:r w:rsidRPr="002E1FFE">
        <w:rPr>
          <w:rFonts w:ascii="Calibri" w:eastAsia="Calibri" w:hAnsi="Calibri" w:cs="Calibri"/>
          <w:color w:val="272727"/>
          <w:sz w:val="24"/>
          <w:szCs w:val="24"/>
          <w:lang w:val="el-GR"/>
        </w:rPr>
        <w:t>, παρέχει σαφή και ολοκληρωμένα πρότυπα για αυτές τις αξιολογήσεις.</w:t>
      </w:r>
    </w:p>
    <w:p w14:paraId="582A41C7" w14:textId="77F31D47" w:rsidR="002E1FFE" w:rsidRPr="002E1FFE" w:rsidRDefault="002E1FFE" w:rsidP="004128E4">
      <w:pPr>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Δυστυχώς, αυτή τη στιγμή </w:t>
      </w:r>
      <w:r w:rsidR="004128E4">
        <w:rPr>
          <w:rFonts w:ascii="Calibri" w:eastAsia="Calibri" w:hAnsi="Calibri" w:cs="Calibri"/>
          <w:color w:val="272727"/>
          <w:sz w:val="24"/>
          <w:szCs w:val="24"/>
          <w:lang w:val="el-GR"/>
        </w:rPr>
        <w:t>διαπιστώνουμε</w:t>
      </w:r>
      <w:r w:rsidRPr="002E1FFE">
        <w:rPr>
          <w:rFonts w:ascii="Calibri" w:eastAsia="Calibri" w:hAnsi="Calibri" w:cs="Calibri"/>
          <w:color w:val="272727"/>
          <w:sz w:val="24"/>
          <w:szCs w:val="24"/>
          <w:lang w:val="el-GR"/>
        </w:rPr>
        <w:t xml:space="preserve"> ότι αυτά τα πρότυπα δεν τηρούνται. Μια ανασκόπηση </w:t>
      </w:r>
      <w:r w:rsidR="004128E4">
        <w:rPr>
          <w:rFonts w:ascii="Calibri" w:eastAsia="Calibri" w:hAnsi="Calibri" w:cs="Calibri"/>
          <w:color w:val="272727"/>
          <w:sz w:val="24"/>
          <w:szCs w:val="24"/>
          <w:lang w:val="el-GR"/>
        </w:rPr>
        <w:t xml:space="preserve">αντίγραφων από συνεντεύξεις </w:t>
      </w:r>
      <w:r w:rsidRPr="002E1FFE">
        <w:rPr>
          <w:rFonts w:ascii="Calibri" w:eastAsia="Calibri" w:hAnsi="Calibri" w:cs="Calibri"/>
          <w:color w:val="272727"/>
          <w:sz w:val="24"/>
          <w:szCs w:val="24"/>
          <w:lang w:val="el-GR"/>
        </w:rPr>
        <w:t xml:space="preserve">αιτούντων </w:t>
      </w:r>
      <w:r w:rsidR="00430BCF" w:rsidRPr="00430BCF">
        <w:rPr>
          <w:rFonts w:ascii="Calibri" w:eastAsia="Calibri" w:hAnsi="Calibri" w:cs="Calibri"/>
          <w:color w:val="272727"/>
          <w:sz w:val="24"/>
          <w:szCs w:val="24"/>
          <w:lang w:val="el-GR"/>
        </w:rPr>
        <w:t>ΛΟΑΤΚΙ+</w:t>
      </w:r>
      <w:r w:rsidRPr="002E1FFE">
        <w:rPr>
          <w:rFonts w:ascii="Calibri" w:eastAsia="Calibri" w:hAnsi="Calibri" w:cs="Calibri"/>
          <w:color w:val="272727"/>
          <w:sz w:val="24"/>
          <w:szCs w:val="24"/>
          <w:lang w:val="el-GR"/>
        </w:rPr>
        <w:t xml:space="preserve">από το 2021 έχει δείξει επανειλημμένα παραδείγματα διαδικαστικών παραβιάσεων και απαγορευμένων ερωτήσεων που αντίκεινται στο δίκαιο της Ευρωπαϊκής Ένωσης και τα διεθνή πρότυπα. </w:t>
      </w:r>
      <w:hyperlink r:id="rId9" w:history="1">
        <w:r w:rsidR="004128E4" w:rsidRPr="004128E4">
          <w:rPr>
            <w:rFonts w:ascii="Calibri" w:eastAsia="Calibri" w:hAnsi="Calibri" w:cs="Calibri"/>
            <w:color w:val="272727"/>
            <w:sz w:val="24"/>
            <w:szCs w:val="24"/>
            <w:lang w:val="el-GR"/>
          </w:rPr>
          <w:t>Ο</w:t>
        </w:r>
        <w:r w:rsidR="004128E4">
          <w:rPr>
            <w:rFonts w:ascii="Calibri" w:eastAsia="Calibri" w:hAnsi="Calibri" w:cs="Calibri"/>
            <w:color w:val="272727"/>
            <w:sz w:val="24"/>
            <w:szCs w:val="24"/>
            <w:lang w:val="el-GR"/>
          </w:rPr>
          <w:t xml:space="preserve"> Ο</w:t>
        </w:r>
        <w:r w:rsidR="004128E4" w:rsidRPr="004128E4">
          <w:rPr>
            <w:rFonts w:ascii="Calibri" w:eastAsia="Calibri" w:hAnsi="Calibri" w:cs="Calibri"/>
            <w:color w:val="272727"/>
            <w:sz w:val="24"/>
            <w:szCs w:val="24"/>
            <w:lang w:val="el-GR"/>
          </w:rPr>
          <w:t>ργανισμός της Ευρωπαϊκής Ένωσης για το Άσυλο</w:t>
        </w:r>
      </w:hyperlink>
      <w:r w:rsidRPr="002E1FFE">
        <w:rPr>
          <w:rFonts w:ascii="Calibri" w:eastAsia="Calibri" w:hAnsi="Calibri" w:cs="Calibri"/>
          <w:color w:val="272727"/>
          <w:sz w:val="24"/>
          <w:szCs w:val="24"/>
          <w:lang w:val="el-GR"/>
        </w:rPr>
        <w:t xml:space="preserve">, η Ευρωπαϊκή Επιτροπή, εκπρόσωποι της ΓΔ </w:t>
      </w:r>
      <w:r w:rsidR="004128E4">
        <w:rPr>
          <w:rFonts w:ascii="Calibri" w:eastAsia="Calibri" w:hAnsi="Calibri" w:cs="Calibri"/>
          <w:color w:val="272727"/>
          <w:sz w:val="24"/>
          <w:szCs w:val="24"/>
          <w:lang w:val="el-GR"/>
        </w:rPr>
        <w:t>Εσωτερικών Υποθέσεων</w:t>
      </w:r>
      <w:r w:rsidRPr="002E1FFE">
        <w:rPr>
          <w:rFonts w:ascii="Calibri" w:eastAsia="Calibri" w:hAnsi="Calibri" w:cs="Calibri"/>
          <w:color w:val="272727"/>
          <w:sz w:val="24"/>
          <w:szCs w:val="24"/>
          <w:lang w:val="el-GR"/>
        </w:rPr>
        <w:t xml:space="preserve"> και ευρωβουλευτές έχουν επίσης έρθει σε επαφή σχετικά με αυτά τα θέματα.</w:t>
      </w:r>
    </w:p>
    <w:p w14:paraId="7BCA8F63" w14:textId="77777777" w:rsidR="004128E4" w:rsidRDefault="004128E4" w:rsidP="002E1FFE">
      <w:pPr>
        <w:spacing w:before="0"/>
        <w:jc w:val="both"/>
        <w:rPr>
          <w:rFonts w:ascii="Calibri" w:eastAsia="PT Sans Narrow" w:hAnsi="Calibri" w:cs="Calibri"/>
          <w:b/>
          <w:color w:val="980000"/>
          <w:sz w:val="36"/>
          <w:szCs w:val="36"/>
        </w:rPr>
      </w:pPr>
    </w:p>
    <w:p w14:paraId="682A58B7" w14:textId="1F257A1E" w:rsidR="002E1FFE" w:rsidRPr="004128E4" w:rsidRDefault="002E1FFE" w:rsidP="002E1FFE">
      <w:pPr>
        <w:spacing w:before="0"/>
        <w:jc w:val="both"/>
        <w:rPr>
          <w:rFonts w:ascii="Calibri" w:eastAsia="PT Sans Narrow" w:hAnsi="Calibri" w:cs="Calibri"/>
          <w:bCs/>
          <w:i/>
          <w:iCs/>
          <w:color w:val="auto"/>
          <w:sz w:val="24"/>
          <w:szCs w:val="24"/>
          <w:u w:val="single"/>
          <w:lang w:val="el-GR"/>
        </w:rPr>
      </w:pPr>
      <w:r w:rsidRPr="004128E4">
        <w:rPr>
          <w:rFonts w:ascii="Calibri" w:eastAsia="PT Sans Narrow" w:hAnsi="Calibri" w:cs="Calibri"/>
          <w:bCs/>
          <w:i/>
          <w:iCs/>
          <w:color w:val="auto"/>
          <w:sz w:val="24"/>
          <w:szCs w:val="24"/>
          <w:u w:val="single"/>
          <w:lang w:val="el-GR"/>
        </w:rPr>
        <w:t>Απαγορευμένες ερωτήσεις</w:t>
      </w:r>
    </w:p>
    <w:p w14:paraId="4CDF5E6F" w14:textId="06E53E9B" w:rsidR="002E1FFE" w:rsidRPr="002E1FFE" w:rsidRDefault="004128E4" w:rsidP="002E1FFE">
      <w:pPr>
        <w:spacing w:before="0"/>
        <w:jc w:val="both"/>
        <w:rPr>
          <w:rFonts w:ascii="Calibri" w:eastAsia="Calibri" w:hAnsi="Calibri" w:cs="Calibri"/>
          <w:color w:val="272727"/>
          <w:sz w:val="24"/>
          <w:szCs w:val="24"/>
          <w:lang w:val="el-GR"/>
        </w:rPr>
      </w:pPr>
      <w:r>
        <w:rPr>
          <w:rFonts w:ascii="Calibri" w:eastAsia="Calibri" w:hAnsi="Calibri" w:cs="Calibri"/>
          <w:color w:val="272727"/>
          <w:sz w:val="24"/>
          <w:szCs w:val="24"/>
          <w:lang w:val="el-GR"/>
        </w:rPr>
        <w:t>Καταρχάς</w:t>
      </w:r>
      <w:r w:rsidR="002E1FFE" w:rsidRPr="002E1FFE">
        <w:rPr>
          <w:rFonts w:ascii="Calibri" w:eastAsia="Calibri" w:hAnsi="Calibri" w:cs="Calibri"/>
          <w:color w:val="272727"/>
          <w:sz w:val="24"/>
          <w:szCs w:val="24"/>
          <w:lang w:val="el-GR"/>
        </w:rPr>
        <w:t xml:space="preserve">, </w:t>
      </w:r>
      <w:r w:rsidR="00430BCF">
        <w:rPr>
          <w:rFonts w:ascii="Calibri" w:eastAsia="Calibri" w:hAnsi="Calibri" w:cs="Calibri"/>
          <w:color w:val="272727"/>
          <w:sz w:val="24"/>
          <w:szCs w:val="24"/>
          <w:lang w:val="el-GR"/>
        </w:rPr>
        <w:t>τα αιτούντα</w:t>
      </w:r>
      <w:r w:rsidR="002E1FFE" w:rsidRPr="002E1FFE">
        <w:rPr>
          <w:rFonts w:ascii="Calibri" w:eastAsia="Calibri" w:hAnsi="Calibri" w:cs="Calibri"/>
          <w:color w:val="272727"/>
          <w:sz w:val="24"/>
          <w:szCs w:val="24"/>
          <w:lang w:val="el-GR"/>
        </w:rPr>
        <w:t xml:space="preserve"> </w:t>
      </w:r>
      <w:r w:rsidR="00430BCF" w:rsidRP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άτομα </w:t>
      </w:r>
      <w:r w:rsidR="002E1FFE" w:rsidRPr="002E1FFE">
        <w:rPr>
          <w:rFonts w:ascii="Calibri" w:eastAsia="Calibri" w:hAnsi="Calibri" w:cs="Calibri"/>
          <w:color w:val="272727"/>
          <w:sz w:val="24"/>
          <w:szCs w:val="24"/>
          <w:lang w:val="el-GR"/>
        </w:rPr>
        <w:t xml:space="preserve">έχουν υποβληθεί </w:t>
      </w:r>
      <w:r>
        <w:rPr>
          <w:rFonts w:ascii="Calibri" w:eastAsia="Calibri" w:hAnsi="Calibri" w:cs="Calibri"/>
          <w:color w:val="272727"/>
          <w:sz w:val="24"/>
          <w:szCs w:val="24"/>
          <w:lang w:val="el-GR"/>
        </w:rPr>
        <w:t xml:space="preserve">σε </w:t>
      </w:r>
      <w:r w:rsidR="002E1FFE" w:rsidRPr="002E1FFE">
        <w:rPr>
          <w:rFonts w:ascii="Calibri" w:eastAsia="Calibri" w:hAnsi="Calibri" w:cs="Calibri"/>
          <w:color w:val="272727"/>
          <w:sz w:val="24"/>
          <w:szCs w:val="24"/>
          <w:lang w:val="el-GR"/>
        </w:rPr>
        <w:t xml:space="preserve">ερωτήσεις που απαγορεύονται ρητά από το δίκαιο της ΕΕ και την ελληνική νομοθεσία, ιδίως όσον αφορά </w:t>
      </w:r>
      <w:r>
        <w:rPr>
          <w:rFonts w:ascii="Calibri" w:eastAsia="Calibri" w:hAnsi="Calibri" w:cs="Calibri"/>
          <w:color w:val="272727"/>
          <w:sz w:val="24"/>
          <w:szCs w:val="24"/>
          <w:lang w:val="el-GR"/>
        </w:rPr>
        <w:t xml:space="preserve">σε </w:t>
      </w:r>
      <w:r w:rsidR="002E1FFE" w:rsidRPr="002E1FFE">
        <w:rPr>
          <w:rFonts w:ascii="Calibri" w:eastAsia="Calibri" w:hAnsi="Calibri" w:cs="Calibri"/>
          <w:color w:val="272727"/>
          <w:sz w:val="24"/>
          <w:szCs w:val="24"/>
          <w:lang w:val="el-GR"/>
        </w:rPr>
        <w:t>ζητήματα που σχετίζονται με σεξουαλικές πρακτικές και συμπεριφορά</w:t>
      </w:r>
      <w:r w:rsidR="0080429D">
        <w:rPr>
          <w:rStyle w:val="FootnoteReference"/>
          <w:rFonts w:ascii="Calibri" w:eastAsia="Calibri" w:hAnsi="Calibri" w:cs="Calibri"/>
          <w:color w:val="272727"/>
          <w:sz w:val="24"/>
          <w:szCs w:val="24"/>
          <w:lang w:val="el-GR"/>
        </w:rPr>
        <w:footnoteReference w:id="5"/>
      </w:r>
      <w:r w:rsidR="002E1FFE" w:rsidRPr="002E1FFE">
        <w:rPr>
          <w:rFonts w:ascii="Calibri" w:eastAsia="Calibri" w:hAnsi="Calibri" w:cs="Calibri"/>
          <w:color w:val="272727"/>
          <w:sz w:val="24"/>
          <w:szCs w:val="24"/>
          <w:lang w:val="el-GR"/>
        </w:rPr>
        <w:t>.</w:t>
      </w:r>
    </w:p>
    <w:p w14:paraId="3036962D"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Οι απαγορευμένες ερωτήσεις που έχουν τεθεί περιλαμβάνουν:</w:t>
      </w:r>
    </w:p>
    <w:p w14:paraId="392C0B9F"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 «Είχες σεξουαλική σχέση με…;»</w:t>
      </w:r>
    </w:p>
    <w:p w14:paraId="69C6B358"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II. «Πήρες κάποιο ερέθισμα για να το μάθεις;»</w:t>
      </w:r>
    </w:p>
    <w:p w14:paraId="06DB15FB" w14:textId="051F0884"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III. «Αφού το αγαπάς τόσο πολύ, ποιος είναι ο λόγος που </w:t>
      </w:r>
      <w:r w:rsidR="004128E4">
        <w:rPr>
          <w:rFonts w:ascii="Calibri" w:eastAsia="Calibri" w:hAnsi="Calibri" w:cs="Calibri"/>
          <w:color w:val="272727"/>
          <w:sz w:val="24"/>
          <w:szCs w:val="24"/>
          <w:lang w:val="el-GR"/>
        </w:rPr>
        <w:t>δεν το έκανες</w:t>
      </w:r>
      <w:r w:rsidRPr="002E1FFE">
        <w:rPr>
          <w:rFonts w:ascii="Calibri" w:eastAsia="Calibri" w:hAnsi="Calibri" w:cs="Calibri"/>
          <w:color w:val="272727"/>
          <w:sz w:val="24"/>
          <w:szCs w:val="24"/>
          <w:lang w:val="el-GR"/>
        </w:rPr>
        <w:t xml:space="preserve"> εδώ στην Ελλάδα;»</w:t>
      </w:r>
    </w:p>
    <w:p w14:paraId="1DE6FDF3"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IV. «Πώς ένιωσες όταν σε άγγιζε;»</w:t>
      </w:r>
    </w:p>
    <w:p w14:paraId="2FB8F5E4" w14:textId="77777777" w:rsidR="004128E4" w:rsidRDefault="004128E4" w:rsidP="002E1FFE">
      <w:pPr>
        <w:spacing w:before="0"/>
        <w:jc w:val="both"/>
        <w:rPr>
          <w:rFonts w:ascii="Calibri" w:eastAsia="Calibri" w:hAnsi="Calibri" w:cs="Calibri"/>
          <w:color w:val="272727"/>
          <w:sz w:val="24"/>
          <w:szCs w:val="24"/>
          <w:lang w:val="el-GR"/>
        </w:rPr>
      </w:pPr>
    </w:p>
    <w:p w14:paraId="41A91CDB" w14:textId="12966BF9" w:rsidR="002E1FFE" w:rsidRPr="004128E4" w:rsidRDefault="002E1FFE" w:rsidP="002E1FFE">
      <w:pPr>
        <w:spacing w:before="0"/>
        <w:jc w:val="both"/>
        <w:rPr>
          <w:rFonts w:ascii="Calibri" w:eastAsia="PT Sans Narrow" w:hAnsi="Calibri" w:cs="Calibri"/>
          <w:bCs/>
          <w:i/>
          <w:iCs/>
          <w:color w:val="auto"/>
          <w:sz w:val="24"/>
          <w:szCs w:val="24"/>
          <w:u w:val="single"/>
          <w:lang w:val="el-GR"/>
        </w:rPr>
      </w:pPr>
      <w:r w:rsidRPr="004128E4">
        <w:rPr>
          <w:rFonts w:ascii="Calibri" w:eastAsia="PT Sans Narrow" w:hAnsi="Calibri" w:cs="Calibri"/>
          <w:bCs/>
          <w:i/>
          <w:iCs/>
          <w:color w:val="auto"/>
          <w:sz w:val="24"/>
          <w:szCs w:val="24"/>
          <w:u w:val="single"/>
          <w:lang w:val="el-GR"/>
        </w:rPr>
        <w:t>Εκπαίδευση και ικανότητα</w:t>
      </w:r>
    </w:p>
    <w:p w14:paraId="0FC4E5A3" w14:textId="613EB7F2"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Δεύτερον, η οδηγία για τις διαδικασίες ασύλου ορίζει ότι οι αιτήσεις πρέπει να εξετάζονται και να λαμβάνονται αποφάσεις «ατομικά, αντικειμενικά και αμερόληπτα». Η υποθετική, συλλογική λήψη αποφάσεων, συχνά λόγω της εφαρμογής της αρχής της ασφαλούς χώρας προέλευσης, σε συνδυασμό με τις πιθανές ευπάθειες και τα τραύματα που εμποδίζουν τα άτομα να κοινοποιήσουν ορισμένες λεπτομέρειες τ</w:t>
      </w:r>
      <w:r w:rsidR="004128E4">
        <w:rPr>
          <w:rFonts w:ascii="Calibri" w:eastAsia="Calibri" w:hAnsi="Calibri" w:cs="Calibri"/>
          <w:color w:val="272727"/>
          <w:sz w:val="24"/>
          <w:szCs w:val="24"/>
          <w:lang w:val="el-GR"/>
        </w:rPr>
        <w:t xml:space="preserve">ου αιτήματός </w:t>
      </w:r>
      <w:r w:rsidRPr="002E1FFE">
        <w:rPr>
          <w:rFonts w:ascii="Calibri" w:eastAsia="Calibri" w:hAnsi="Calibri" w:cs="Calibri"/>
          <w:color w:val="272727"/>
          <w:sz w:val="24"/>
          <w:szCs w:val="24"/>
          <w:lang w:val="el-GR"/>
        </w:rPr>
        <w:t>τους σε πρώτο βαθμό, εμποδίζει τη σωστή εξατομικευμένη αξιολόγηση.</w:t>
      </w:r>
    </w:p>
    <w:p w14:paraId="0FAA5D28" w14:textId="70434826"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Οι υπάλληλοι που διενεργούν τις συνεντεύξεις θα πρέπει να είναι επαρκώς εκπαιδευμένοι στην αξιολόγηση και ικανοί σε σχέση με τον σεξουαλικό προσανατολισμό και την ταυτότητα φύλου</w:t>
      </w:r>
      <w:r w:rsidR="0080429D">
        <w:rPr>
          <w:rStyle w:val="FootnoteReference"/>
          <w:rFonts w:ascii="Calibri" w:eastAsia="Calibri" w:hAnsi="Calibri" w:cs="Calibri"/>
          <w:color w:val="272727"/>
          <w:sz w:val="24"/>
          <w:szCs w:val="24"/>
          <w:lang w:val="el-GR"/>
        </w:rPr>
        <w:footnoteReference w:id="6"/>
      </w:r>
      <w:r w:rsidRPr="002E1FFE">
        <w:rPr>
          <w:rFonts w:ascii="Calibri" w:eastAsia="Calibri" w:hAnsi="Calibri" w:cs="Calibri"/>
          <w:color w:val="272727"/>
          <w:sz w:val="24"/>
          <w:szCs w:val="24"/>
          <w:lang w:val="el-GR"/>
        </w:rPr>
        <w:t xml:space="preserve">. Ωστόσο, </w:t>
      </w:r>
      <w:r w:rsidR="004128E4">
        <w:rPr>
          <w:rFonts w:ascii="Calibri" w:eastAsia="Calibri" w:hAnsi="Calibri" w:cs="Calibri"/>
          <w:color w:val="272727"/>
          <w:sz w:val="24"/>
          <w:szCs w:val="24"/>
          <w:lang w:val="el-GR"/>
        </w:rPr>
        <w:t xml:space="preserve">αποσπάσματα συνεντεύξεων </w:t>
      </w:r>
      <w:r w:rsidRPr="002E1FFE">
        <w:rPr>
          <w:rFonts w:ascii="Calibri" w:eastAsia="Calibri" w:hAnsi="Calibri" w:cs="Calibri"/>
          <w:color w:val="272727"/>
          <w:sz w:val="24"/>
          <w:szCs w:val="24"/>
          <w:lang w:val="el-GR"/>
        </w:rPr>
        <w:t xml:space="preserve">αιτούντων </w:t>
      </w:r>
      <w:r w:rsidR="00430BCF">
        <w:rPr>
          <w:rFonts w:ascii="Calibri" w:eastAsia="Calibri" w:hAnsi="Calibri" w:cs="Calibri"/>
          <w:color w:val="272727"/>
          <w:sz w:val="24"/>
          <w:szCs w:val="24"/>
          <w:lang w:val="el-GR"/>
        </w:rPr>
        <w:t>ΛΟΑΤΚΙ+</w:t>
      </w:r>
      <w:r w:rsidRPr="002E1FFE">
        <w:rPr>
          <w:rFonts w:ascii="Calibri" w:eastAsia="Calibri" w:hAnsi="Calibri" w:cs="Calibri"/>
          <w:color w:val="272727"/>
          <w:sz w:val="24"/>
          <w:szCs w:val="24"/>
          <w:lang w:val="el-GR"/>
        </w:rPr>
        <w:t xml:space="preserve">υποδεικνύουν ότι είναι ερωτήσεις ρουτίνας που καταδεικνύουν έλλειψη εκπαίδευσης ή κατανόησης σχετικά με τον σεξουαλικό προσανατολισμό ή/και την ταυτότητα φύλου. </w:t>
      </w:r>
      <w:r w:rsidR="00430BCF">
        <w:rPr>
          <w:rFonts w:ascii="Calibri" w:eastAsia="Calibri" w:hAnsi="Calibri" w:cs="Calibri"/>
          <w:color w:val="272727"/>
          <w:sz w:val="24"/>
          <w:szCs w:val="24"/>
          <w:lang w:val="el-GR"/>
        </w:rPr>
        <w:t>Τα αιτούντα</w:t>
      </w:r>
      <w:r w:rsidRPr="002E1FFE">
        <w:rPr>
          <w:rFonts w:ascii="Calibri" w:eastAsia="Calibri" w:hAnsi="Calibri" w:cs="Calibri"/>
          <w:color w:val="272727"/>
          <w:sz w:val="24"/>
          <w:szCs w:val="24"/>
          <w:lang w:val="el-GR"/>
        </w:rPr>
        <w:t xml:space="preserve"> </w:t>
      </w:r>
      <w:r w:rsidR="00430BCF">
        <w:rPr>
          <w:rFonts w:ascii="Calibri" w:eastAsia="Calibri" w:hAnsi="Calibri" w:cs="Calibri"/>
          <w:color w:val="272727"/>
          <w:sz w:val="24"/>
          <w:szCs w:val="24"/>
          <w:lang w:val="el-GR"/>
        </w:rPr>
        <w:t xml:space="preserve">ΛΟΑΤΚΙ+ άτομα </w:t>
      </w:r>
      <w:r w:rsidRPr="002E1FFE">
        <w:rPr>
          <w:rFonts w:ascii="Calibri" w:eastAsia="Calibri" w:hAnsi="Calibri" w:cs="Calibri"/>
          <w:color w:val="272727"/>
          <w:sz w:val="24"/>
          <w:szCs w:val="24"/>
          <w:lang w:val="el-GR"/>
        </w:rPr>
        <w:t>ανέφεραν ότι αντιμετώπισαν σκεπτικισμό και προκατάληψη όταν μοιράζονταν τον σεξουαλικό τους προσανατολισμό, στο βαθμό που περιγράφηκε ως παρόμοιο με μια «αναγκαστική ανάκριση». Οι ερωτήσεις που δεν τηρούν τα ευρωπαϊκά πρότυπα περιλαμβάνουν:</w:t>
      </w:r>
    </w:p>
    <w:p w14:paraId="15C49130"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 «Πριν προχωρήσετε σε αυτή τη σεξουαλική επιλογή, είχατε επίγνωση των δυσκολιών που θα έπρεπε να αντιμετωπίσετε;»</w:t>
      </w:r>
    </w:p>
    <w:p w14:paraId="3102A71F"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II. «Αφού ένιωθες πόνο, γιατί επέλεξες αυτόν τον τρόπο ζωής;»</w:t>
      </w:r>
    </w:p>
    <w:p w14:paraId="4DD20B14"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III. «Είσαι ένας μορφωμένος άνθρωπος. Δεν γνωρίζατε ότι η ομοφυλοφιλία είναι έγκλημα στη [χώρα προέλευσης];»</w:t>
      </w:r>
    </w:p>
    <w:p w14:paraId="0DFFEEA9"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IV. «Δεν σε έκανε αυτό το [τραυματικό] γεγονός να σκεφτείς την επιλογή σου;»</w:t>
      </w:r>
    </w:p>
    <w:p w14:paraId="0A7080DF" w14:textId="77777777" w:rsidR="004128E4" w:rsidRDefault="004128E4" w:rsidP="002E1FFE">
      <w:pPr>
        <w:spacing w:before="0"/>
        <w:jc w:val="both"/>
        <w:rPr>
          <w:rFonts w:ascii="Calibri" w:eastAsia="PT Sans Narrow" w:hAnsi="Calibri" w:cs="Calibri"/>
          <w:bCs/>
          <w:i/>
          <w:iCs/>
          <w:color w:val="auto"/>
          <w:sz w:val="24"/>
          <w:szCs w:val="24"/>
          <w:u w:val="single"/>
          <w:lang w:val="el-GR"/>
        </w:rPr>
      </w:pPr>
    </w:p>
    <w:p w14:paraId="2E738E8E" w14:textId="01007AB7" w:rsidR="002E1FFE" w:rsidRPr="004128E4" w:rsidRDefault="002E1FFE" w:rsidP="002E1FFE">
      <w:pPr>
        <w:spacing w:before="0"/>
        <w:jc w:val="both"/>
        <w:rPr>
          <w:rFonts w:ascii="Calibri" w:eastAsia="PT Sans Narrow" w:hAnsi="Calibri" w:cs="Calibri"/>
          <w:bCs/>
          <w:i/>
          <w:iCs/>
          <w:color w:val="auto"/>
          <w:sz w:val="24"/>
          <w:szCs w:val="24"/>
          <w:u w:val="single"/>
          <w:lang w:val="el-GR"/>
        </w:rPr>
      </w:pPr>
      <w:r w:rsidRPr="004128E4">
        <w:rPr>
          <w:rFonts w:ascii="Calibri" w:eastAsia="PT Sans Narrow" w:hAnsi="Calibri" w:cs="Calibri"/>
          <w:bCs/>
          <w:i/>
          <w:iCs/>
          <w:color w:val="auto"/>
          <w:sz w:val="24"/>
          <w:szCs w:val="24"/>
          <w:u w:val="single"/>
          <w:lang w:val="el-GR"/>
        </w:rPr>
        <w:t>Η χρήση στερεοτύπων</w:t>
      </w:r>
    </w:p>
    <w:p w14:paraId="2230AA2A" w14:textId="6033BA29"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Τέλος, η εξάρτηση από τα στερεότυπα προκαλεί σοβαρή ανησυχία. Μετά από απόφαση του Δικαστηρίου της ΕΕ, οι αποφάσεις για την αξιοπιστία δεν μπορούν να βασίζονται σε στερεότυπες έννοιες</w:t>
      </w:r>
      <w:r w:rsidR="0080429D">
        <w:rPr>
          <w:rStyle w:val="FootnoteReference"/>
          <w:rFonts w:ascii="Calibri" w:eastAsia="Calibri" w:hAnsi="Calibri" w:cs="Calibri"/>
          <w:color w:val="272727"/>
          <w:sz w:val="24"/>
          <w:szCs w:val="24"/>
          <w:lang w:val="el-GR"/>
        </w:rPr>
        <w:footnoteReference w:id="7"/>
      </w:r>
      <w:r w:rsidRPr="002E1FFE">
        <w:rPr>
          <w:rFonts w:ascii="Calibri" w:eastAsia="Calibri" w:hAnsi="Calibri" w:cs="Calibri"/>
          <w:color w:val="272727"/>
          <w:sz w:val="24"/>
          <w:szCs w:val="24"/>
          <w:lang w:val="el-GR"/>
        </w:rPr>
        <w:t xml:space="preserve">. Η απόφαση διευκρίνισε περαιτέρω ότι μια απόφαση που βασίζεται στην (έλλειψη) γνώσης ενός ατόμου για τις </w:t>
      </w:r>
      <w:r w:rsidR="00430BCF">
        <w:rPr>
          <w:rFonts w:ascii="Calibri" w:eastAsia="Calibri" w:hAnsi="Calibri" w:cs="Calibri"/>
          <w:color w:val="272727"/>
          <w:sz w:val="24"/>
          <w:szCs w:val="24"/>
          <w:lang w:val="el-GR"/>
        </w:rPr>
        <w:t xml:space="preserve">ΛΟΑΤΚΙ+ </w:t>
      </w:r>
      <w:r w:rsidRPr="002E1FFE">
        <w:rPr>
          <w:rFonts w:ascii="Calibri" w:eastAsia="Calibri" w:hAnsi="Calibri" w:cs="Calibri"/>
          <w:color w:val="272727"/>
          <w:sz w:val="24"/>
          <w:szCs w:val="24"/>
          <w:lang w:val="el-GR"/>
        </w:rPr>
        <w:t xml:space="preserve">οργανώσεις υποδηλώνει ότι οι αρχές έχουν βασιστεί σε στερεότυπα στη λήψη της απόφασής τους. Επιπλέον, η Οδηγία της Ύπατης Αρμοστείας του ΟΗΕ για τους Πρόσφυγες αρ. 9 για </w:t>
      </w:r>
      <w:r w:rsidR="007B4A39">
        <w:rPr>
          <w:rFonts w:ascii="Calibri" w:eastAsia="Calibri" w:hAnsi="Calibri" w:cs="Calibri"/>
          <w:color w:val="272727"/>
          <w:sz w:val="24"/>
          <w:szCs w:val="24"/>
          <w:lang w:val="el-GR"/>
        </w:rPr>
        <w:t>τη</w:t>
      </w:r>
      <w:r w:rsidRPr="002E1FFE">
        <w:rPr>
          <w:rFonts w:ascii="Calibri" w:eastAsia="Calibri" w:hAnsi="Calibri" w:cs="Calibri"/>
          <w:color w:val="272727"/>
          <w:sz w:val="24"/>
          <w:szCs w:val="24"/>
          <w:lang w:val="el-GR"/>
        </w:rPr>
        <w:t xml:space="preserve"> διεθνή προστασία</w:t>
      </w:r>
      <w:r w:rsidR="007B4A39">
        <w:rPr>
          <w:rFonts w:ascii="Calibri" w:eastAsia="Calibri" w:hAnsi="Calibri" w:cs="Calibri"/>
          <w:color w:val="272727"/>
          <w:sz w:val="24"/>
          <w:szCs w:val="24"/>
          <w:lang w:val="el-GR"/>
        </w:rPr>
        <w:t xml:space="preserve"> αναφέρει</w:t>
      </w:r>
      <w:r w:rsidRPr="002E1FFE">
        <w:rPr>
          <w:rFonts w:ascii="Calibri" w:eastAsia="Calibri" w:hAnsi="Calibri" w:cs="Calibri"/>
          <w:color w:val="272727"/>
          <w:sz w:val="24"/>
          <w:szCs w:val="24"/>
          <w:lang w:val="el-GR"/>
        </w:rPr>
        <w:t>:</w:t>
      </w:r>
    </w:p>
    <w:p w14:paraId="3FFCD929" w14:textId="7E332CE9"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«Οι </w:t>
      </w:r>
      <w:r w:rsidR="007B4A39">
        <w:rPr>
          <w:rFonts w:ascii="Calibri" w:eastAsia="Calibri" w:hAnsi="Calibri" w:cs="Calibri"/>
          <w:color w:val="272727"/>
          <w:sz w:val="24"/>
          <w:szCs w:val="24"/>
          <w:lang w:val="el-GR"/>
        </w:rPr>
        <w:t>συνεντευκτές</w:t>
      </w:r>
      <w:r w:rsidRPr="002E1FFE">
        <w:rPr>
          <w:rFonts w:ascii="Calibri" w:eastAsia="Calibri" w:hAnsi="Calibri" w:cs="Calibri"/>
          <w:color w:val="272727"/>
          <w:sz w:val="24"/>
          <w:szCs w:val="24"/>
          <w:lang w:val="el-GR"/>
        </w:rPr>
        <w:t xml:space="preserve"> και οι υπεύθυνοι λήψης αποφάσεων </w:t>
      </w:r>
      <w:r w:rsidR="007B4A39">
        <w:rPr>
          <w:rFonts w:ascii="Calibri" w:eastAsia="Calibri" w:hAnsi="Calibri" w:cs="Calibri"/>
          <w:color w:val="272727"/>
          <w:sz w:val="24"/>
          <w:szCs w:val="24"/>
          <w:lang w:val="el-GR"/>
        </w:rPr>
        <w:t>οφείλουν</w:t>
      </w:r>
      <w:r w:rsidRPr="002E1FFE">
        <w:rPr>
          <w:rFonts w:ascii="Calibri" w:eastAsia="Calibri" w:hAnsi="Calibri" w:cs="Calibri"/>
          <w:color w:val="272727"/>
          <w:sz w:val="24"/>
          <w:szCs w:val="24"/>
          <w:lang w:val="el-GR"/>
        </w:rPr>
        <w:t xml:space="preserve"> να διατηρ</w:t>
      </w:r>
      <w:r w:rsidR="007B4A39">
        <w:rPr>
          <w:rFonts w:ascii="Calibri" w:eastAsia="Calibri" w:hAnsi="Calibri" w:cs="Calibri"/>
          <w:color w:val="272727"/>
          <w:sz w:val="24"/>
          <w:szCs w:val="24"/>
          <w:lang w:val="el-GR"/>
        </w:rPr>
        <w:t>ού</w:t>
      </w:r>
      <w:r w:rsidRPr="002E1FFE">
        <w:rPr>
          <w:rFonts w:ascii="Calibri" w:eastAsia="Calibri" w:hAnsi="Calibri" w:cs="Calibri"/>
          <w:color w:val="272727"/>
          <w:sz w:val="24"/>
          <w:szCs w:val="24"/>
          <w:lang w:val="el-GR"/>
        </w:rPr>
        <w:t xml:space="preserve">ν μια αντικειμενική προσέγγιση ώστε να μην καταλήγουν σε συμπεράσματα που βασίζονται σε στερεότυπες, ανακριβείς ή ακατάλληλες αντιλήψεις για τα </w:t>
      </w:r>
      <w:r w:rsid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w:t>
      </w:r>
      <w:r w:rsidRPr="002E1FFE">
        <w:rPr>
          <w:rFonts w:ascii="Calibri" w:eastAsia="Calibri" w:hAnsi="Calibri" w:cs="Calibri"/>
          <w:color w:val="272727"/>
          <w:sz w:val="24"/>
          <w:szCs w:val="24"/>
          <w:lang w:val="el-GR"/>
        </w:rPr>
        <w:t>άτομα… Δεν υπάρχουν καθολικά χαρακτηριστικά ή ιδιότητες που χαρακτηρίζουν τα LGBTI άτομα περισσότερο από τα ετεροφυλόφιλα άτομα. Οι εμπειρίες της ζωής τους μπορεί να διαφέρουν πολύ ακόμα κι αν είναι από την ίδια χώρα»</w:t>
      </w:r>
      <w:r w:rsidR="0080429D">
        <w:rPr>
          <w:rStyle w:val="FootnoteReference"/>
          <w:rFonts w:ascii="Calibri" w:eastAsia="Calibri" w:hAnsi="Calibri" w:cs="Calibri"/>
          <w:color w:val="272727"/>
          <w:sz w:val="24"/>
          <w:szCs w:val="24"/>
          <w:lang w:val="el-GR"/>
        </w:rPr>
        <w:footnoteReference w:id="8"/>
      </w:r>
      <w:r w:rsidRPr="002E1FFE">
        <w:rPr>
          <w:rFonts w:ascii="Calibri" w:eastAsia="Calibri" w:hAnsi="Calibri" w:cs="Calibri"/>
          <w:color w:val="272727"/>
          <w:sz w:val="24"/>
          <w:szCs w:val="24"/>
          <w:lang w:val="el-GR"/>
        </w:rPr>
        <w:t>.</w:t>
      </w:r>
    </w:p>
    <w:p w14:paraId="6223D3CF" w14:textId="13554448"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Ωστόσο, υπάρχουν </w:t>
      </w:r>
      <w:r w:rsidR="007B4A39">
        <w:rPr>
          <w:rFonts w:ascii="Calibri" w:eastAsia="Calibri" w:hAnsi="Calibri" w:cs="Calibri"/>
          <w:color w:val="272727"/>
          <w:sz w:val="24"/>
          <w:szCs w:val="24"/>
          <w:lang w:val="el-GR"/>
        </w:rPr>
        <w:t>αποσπάσματα συνεντεύξεων στα οποία</w:t>
      </w:r>
      <w:r w:rsidRPr="002E1FFE">
        <w:rPr>
          <w:rFonts w:ascii="Calibri" w:eastAsia="Calibri" w:hAnsi="Calibri" w:cs="Calibri"/>
          <w:color w:val="272727"/>
          <w:sz w:val="24"/>
          <w:szCs w:val="24"/>
          <w:lang w:val="el-GR"/>
        </w:rPr>
        <w:t xml:space="preserve"> κυριαρχούν στερεότυπες ερωτήσεις, όπως:</w:t>
      </w:r>
    </w:p>
    <w:p w14:paraId="138184D8"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Ι. «Έχεις κόρη, μπορείς να το εξηγήσεις αφού είσαι ομοφυλόφιλος;»</w:t>
      </w:r>
    </w:p>
    <w:p w14:paraId="6AD2015F"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II. «Είχες ποτέ σχέση με [άνδρα/γυναίκα];»</w:t>
      </w:r>
    </w:p>
    <w:p w14:paraId="158B8E7A"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III. «Είχες ποτέ ετεροφυλόφιλη σχέση;»</w:t>
      </w:r>
    </w:p>
    <w:p w14:paraId="25E5A6A1" w14:textId="4976D35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IV. «</w:t>
      </w:r>
      <w:r w:rsidR="00430BCF">
        <w:rPr>
          <w:rFonts w:ascii="Calibri" w:eastAsia="Calibri" w:hAnsi="Calibri" w:cs="Calibri"/>
          <w:color w:val="272727"/>
          <w:sz w:val="24"/>
          <w:szCs w:val="24"/>
          <w:lang w:val="el-GR"/>
        </w:rPr>
        <w:t>ΛΟΑΤΚΙ</w:t>
      </w:r>
      <w:r w:rsidR="00430BCF">
        <w:rPr>
          <w:rFonts w:ascii="Calibri" w:eastAsia="Calibri" w:hAnsi="Calibri" w:cs="Calibri"/>
          <w:color w:val="272727"/>
          <w:sz w:val="24"/>
          <w:szCs w:val="24"/>
          <w:lang w:val="el-GR"/>
        </w:rPr>
        <w:t xml:space="preserve"> </w:t>
      </w:r>
      <w:r w:rsidRPr="002E1FFE">
        <w:rPr>
          <w:rFonts w:ascii="Calibri" w:eastAsia="Calibri" w:hAnsi="Calibri" w:cs="Calibri"/>
          <w:color w:val="272727"/>
          <w:sz w:val="24"/>
          <w:szCs w:val="24"/>
          <w:lang w:val="el-GR"/>
        </w:rPr>
        <w:t>σημαίνει λεσβίες ομοφυλόφιλοι αμφιφυλόφιλοι και τρανσέξουαλ. Πώς είναι δυνατόν να είσαι ομοφυλόφιλος και να μην γνωρίζεις πώς λέγονται οι σεξουαλικές μειονότητες της κοινότητας;»</w:t>
      </w:r>
    </w:p>
    <w:p w14:paraId="76362CD3" w14:textId="7E7DD4C3"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Το πιο ανησυχητικό είναι ότι, σε αντίθεση με την απόφαση ABC</w:t>
      </w:r>
      <w:r w:rsidR="007B4A39">
        <w:rPr>
          <w:rStyle w:val="FootnoteReference"/>
          <w:rFonts w:ascii="Calibri" w:eastAsia="Calibri" w:hAnsi="Calibri" w:cs="Calibri"/>
          <w:color w:val="272727"/>
          <w:sz w:val="24"/>
          <w:szCs w:val="24"/>
          <w:lang w:val="el-GR"/>
        </w:rPr>
        <w:footnoteReference w:id="9"/>
      </w:r>
      <w:r w:rsidRPr="002E1FFE">
        <w:rPr>
          <w:rFonts w:ascii="Calibri" w:eastAsia="Calibri" w:hAnsi="Calibri" w:cs="Calibri"/>
          <w:color w:val="272727"/>
          <w:sz w:val="24"/>
          <w:szCs w:val="24"/>
          <w:lang w:val="el-GR"/>
        </w:rPr>
        <w:t xml:space="preserve">, οι αιτούντες απορρίφθηκαν με βάση στερεότυπες έννοιες, μεταξύ άλλων λόγω έλλειψης γνώσης των </w:t>
      </w:r>
      <w:r w:rsidR="00430BCF">
        <w:rPr>
          <w:rFonts w:ascii="Calibri" w:eastAsia="Calibri" w:hAnsi="Calibri" w:cs="Calibri"/>
          <w:color w:val="272727"/>
          <w:sz w:val="24"/>
          <w:szCs w:val="24"/>
          <w:lang w:val="el-GR"/>
        </w:rPr>
        <w:t>ΛΟΑΤΚΙ+</w:t>
      </w:r>
      <w:r w:rsidRPr="002E1FFE">
        <w:rPr>
          <w:rFonts w:ascii="Calibri" w:eastAsia="Calibri" w:hAnsi="Calibri" w:cs="Calibri"/>
          <w:color w:val="272727"/>
          <w:sz w:val="24"/>
          <w:szCs w:val="24"/>
          <w:lang w:val="el-GR"/>
        </w:rPr>
        <w:t>οργανώσεων.</w:t>
      </w:r>
    </w:p>
    <w:p w14:paraId="17629FA7" w14:textId="77777777"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Με βάση τα παραπάνω, προτείνεται:</w:t>
      </w:r>
    </w:p>
    <w:p w14:paraId="3D938D07" w14:textId="51AB22FF"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1. Η Ελληνική Υπηρεσία Ασύλου </w:t>
      </w:r>
      <w:r w:rsidR="007B4A39">
        <w:rPr>
          <w:rFonts w:ascii="Calibri" w:eastAsia="Calibri" w:hAnsi="Calibri" w:cs="Calibri"/>
          <w:color w:val="272727"/>
          <w:sz w:val="24"/>
          <w:szCs w:val="24"/>
          <w:lang w:val="el-GR"/>
        </w:rPr>
        <w:t xml:space="preserve">να </w:t>
      </w:r>
      <w:r w:rsidRPr="002E1FFE">
        <w:rPr>
          <w:rFonts w:ascii="Calibri" w:eastAsia="Calibri" w:hAnsi="Calibri" w:cs="Calibri"/>
          <w:color w:val="272727"/>
          <w:sz w:val="24"/>
          <w:szCs w:val="24"/>
          <w:lang w:val="el-GR"/>
        </w:rPr>
        <w:t xml:space="preserve">εκδίδει σαφείς, ενημερωμένες και διαθέσιμες στο κοινό εσωτερικές κατευθυντήριες γραμμές σχετικά με τον τρόπο διεξαγωγής προσωπικών συνεντεύξεων για αιτούντες με αιτήματα ασύλου </w:t>
      </w:r>
      <w:r w:rsidR="00430BCF">
        <w:rPr>
          <w:rFonts w:ascii="Calibri" w:eastAsia="Calibri" w:hAnsi="Calibri" w:cs="Calibri"/>
          <w:color w:val="272727"/>
          <w:sz w:val="24"/>
          <w:szCs w:val="24"/>
          <w:lang w:val="el-GR"/>
        </w:rPr>
        <w:t xml:space="preserve">ΛΟΑΤΚΙ+ </w:t>
      </w:r>
      <w:r w:rsidRPr="002E1FFE">
        <w:rPr>
          <w:rFonts w:ascii="Calibri" w:eastAsia="Calibri" w:hAnsi="Calibri" w:cs="Calibri"/>
          <w:color w:val="272727"/>
          <w:sz w:val="24"/>
          <w:szCs w:val="24"/>
          <w:lang w:val="el-GR"/>
        </w:rPr>
        <w:t>σύμφωνα με την ευρωπαϊκή και ελληνική νομοθεσία για να ξεπεραστούν θεσμοθετημένες πρακτικές που οδηγούν σε διαδικαστικές παραβιάσεις.</w:t>
      </w:r>
    </w:p>
    <w:p w14:paraId="60962AB2" w14:textId="612F9729"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Οι κατευθυντήριες γραμμές θα πρέπει να καλύπτουν τα πρότυπα που ορίζονται από την</w:t>
      </w:r>
      <w:r w:rsidR="007B4A39">
        <w:rPr>
          <w:rFonts w:ascii="Calibri" w:eastAsia="Calibri" w:hAnsi="Calibri" w:cs="Calibri"/>
          <w:color w:val="272727"/>
          <w:sz w:val="24"/>
          <w:szCs w:val="24"/>
          <w:lang w:val="el-GR"/>
        </w:rPr>
        <w:t xml:space="preserve"> Ευρωπαϊκή Σύμβαση Δικαιωμάτων του Ανθρώπου (</w:t>
      </w:r>
      <w:r w:rsidRPr="002E1FFE">
        <w:rPr>
          <w:rFonts w:ascii="Calibri" w:eastAsia="Calibri" w:hAnsi="Calibri" w:cs="Calibri"/>
          <w:color w:val="272727"/>
          <w:sz w:val="24"/>
          <w:szCs w:val="24"/>
          <w:lang w:val="el-GR"/>
        </w:rPr>
        <w:t>ΕΣΔΑ</w:t>
      </w:r>
      <w:r w:rsidR="007B4A39">
        <w:rPr>
          <w:rFonts w:ascii="Calibri" w:eastAsia="Calibri" w:hAnsi="Calibri" w:cs="Calibri"/>
          <w:color w:val="272727"/>
          <w:sz w:val="24"/>
          <w:szCs w:val="24"/>
          <w:lang w:val="el-GR"/>
        </w:rPr>
        <w:t>)</w:t>
      </w:r>
      <w:r w:rsidRPr="002E1FFE">
        <w:rPr>
          <w:rFonts w:ascii="Calibri" w:eastAsia="Calibri" w:hAnsi="Calibri" w:cs="Calibri"/>
          <w:color w:val="272727"/>
          <w:sz w:val="24"/>
          <w:szCs w:val="24"/>
          <w:lang w:val="el-GR"/>
        </w:rPr>
        <w:t>, το Δ</w:t>
      </w:r>
      <w:r w:rsidR="007B4A39">
        <w:rPr>
          <w:rFonts w:ascii="Calibri" w:eastAsia="Calibri" w:hAnsi="Calibri" w:cs="Calibri"/>
          <w:color w:val="272727"/>
          <w:sz w:val="24"/>
          <w:szCs w:val="24"/>
          <w:lang w:val="el-GR"/>
        </w:rPr>
        <w:t>ικαστήριο της Ευρωπαϊκής Ένωσης (Δ</w:t>
      </w:r>
      <w:r w:rsidRPr="002E1FFE">
        <w:rPr>
          <w:rFonts w:ascii="Calibri" w:eastAsia="Calibri" w:hAnsi="Calibri" w:cs="Calibri"/>
          <w:color w:val="272727"/>
          <w:sz w:val="24"/>
          <w:szCs w:val="24"/>
          <w:lang w:val="el-GR"/>
        </w:rPr>
        <w:t>ΕΕ</w:t>
      </w:r>
      <w:r w:rsidR="007B4A39">
        <w:rPr>
          <w:rFonts w:ascii="Calibri" w:eastAsia="Calibri" w:hAnsi="Calibri" w:cs="Calibri"/>
          <w:color w:val="272727"/>
          <w:sz w:val="24"/>
          <w:szCs w:val="24"/>
          <w:lang w:val="el-GR"/>
        </w:rPr>
        <w:t>)</w:t>
      </w:r>
      <w:r w:rsidRPr="002E1FFE">
        <w:rPr>
          <w:rFonts w:ascii="Calibri" w:eastAsia="Calibri" w:hAnsi="Calibri" w:cs="Calibri"/>
          <w:color w:val="272727"/>
          <w:sz w:val="24"/>
          <w:szCs w:val="24"/>
          <w:lang w:val="el-GR"/>
        </w:rPr>
        <w:t xml:space="preserve"> και τις Οδηγίες της ΕΕ σχετικά με την αξιολόγηση των </w:t>
      </w:r>
      <w:r w:rsidR="00430BCF">
        <w:rPr>
          <w:rFonts w:ascii="Calibri" w:eastAsia="Calibri" w:hAnsi="Calibri" w:cs="Calibri"/>
          <w:color w:val="272727"/>
          <w:sz w:val="24"/>
          <w:szCs w:val="24"/>
          <w:lang w:val="el-GR"/>
        </w:rPr>
        <w:t>αιτημάτων</w:t>
      </w:r>
      <w:r w:rsidRPr="002E1FFE">
        <w:rPr>
          <w:rFonts w:ascii="Calibri" w:eastAsia="Calibri" w:hAnsi="Calibri" w:cs="Calibri"/>
          <w:color w:val="272727"/>
          <w:sz w:val="24"/>
          <w:szCs w:val="24"/>
          <w:lang w:val="el-GR"/>
        </w:rPr>
        <w:t xml:space="preserve"> </w:t>
      </w:r>
      <w:r w:rsidR="00430BCF">
        <w:rPr>
          <w:rFonts w:ascii="Calibri" w:eastAsia="Calibri" w:hAnsi="Calibri" w:cs="Calibri"/>
          <w:color w:val="272727"/>
          <w:sz w:val="24"/>
          <w:szCs w:val="24"/>
          <w:lang w:val="el-GR"/>
        </w:rPr>
        <w:t xml:space="preserve">ΛΟΑΤΚΙ </w:t>
      </w:r>
      <w:r w:rsidRPr="002E1FFE">
        <w:rPr>
          <w:rFonts w:ascii="Calibri" w:eastAsia="Calibri" w:hAnsi="Calibri" w:cs="Calibri"/>
          <w:color w:val="272727"/>
          <w:sz w:val="24"/>
          <w:szCs w:val="24"/>
          <w:lang w:val="el-GR"/>
        </w:rPr>
        <w:t>και θα πρέπει να περιλαμβάνουν μια αλλαγή στην ορολογία που θα σέβεται τη διαφορετικότητα και την ατομικότητα κάθε ατόμου.</w:t>
      </w:r>
    </w:p>
    <w:p w14:paraId="7BF0D0BE" w14:textId="09A3450B"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 Οι κατευθυντήριες γραμμές θα πρέπει να αναγνωρίζουν τη διατομεακή ταυτότητα των αιτούντων SOGIESC και να παρέχουν μια βασική κατανόηση των ταυτοτήτων SOGIESC σε ένα διαπολιτισμικό πλαίσιο για να </w:t>
      </w:r>
      <w:r w:rsidR="007B4A39">
        <w:rPr>
          <w:rFonts w:ascii="Calibri" w:eastAsia="Calibri" w:hAnsi="Calibri" w:cs="Calibri"/>
          <w:color w:val="272727"/>
          <w:sz w:val="24"/>
          <w:szCs w:val="24"/>
          <w:lang w:val="el-GR"/>
        </w:rPr>
        <w:t>αποφεύγονται</w:t>
      </w:r>
      <w:r w:rsidRPr="002E1FFE">
        <w:rPr>
          <w:rFonts w:ascii="Calibri" w:eastAsia="Calibri" w:hAnsi="Calibri" w:cs="Calibri"/>
          <w:color w:val="272727"/>
          <w:sz w:val="24"/>
          <w:szCs w:val="24"/>
          <w:lang w:val="el-GR"/>
        </w:rPr>
        <w:t xml:space="preserve"> οι ευρωκεντρικές προσδοκίες και η εξάρτηση από στερεότυπες έννοιες.</w:t>
      </w:r>
    </w:p>
    <w:p w14:paraId="6085004F" w14:textId="0B9354ED"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2. Το υπόδειγμα ερωτήσεων που χρησιμοποιείται από τους υπαλλήλους </w:t>
      </w:r>
      <w:r w:rsidR="007B4A39">
        <w:rPr>
          <w:rFonts w:ascii="Calibri" w:eastAsia="Calibri" w:hAnsi="Calibri" w:cs="Calibri"/>
          <w:color w:val="272727"/>
          <w:sz w:val="24"/>
          <w:szCs w:val="24"/>
          <w:lang w:val="el-GR"/>
        </w:rPr>
        <w:t xml:space="preserve">κατά </w:t>
      </w:r>
      <w:r w:rsidRPr="002E1FFE">
        <w:rPr>
          <w:rFonts w:ascii="Calibri" w:eastAsia="Calibri" w:hAnsi="Calibri" w:cs="Calibri"/>
          <w:color w:val="272727"/>
          <w:sz w:val="24"/>
          <w:szCs w:val="24"/>
          <w:lang w:val="el-GR"/>
        </w:rPr>
        <w:t xml:space="preserve">την αξιολόγηση αξιοπιστίας θα πρέπει να ενημερωθεί ώστε να συμμορφώνεται με τα διεθνή, </w:t>
      </w:r>
      <w:r w:rsidR="007B4A39">
        <w:rPr>
          <w:rFonts w:ascii="Calibri" w:eastAsia="Calibri" w:hAnsi="Calibri" w:cs="Calibri"/>
          <w:color w:val="272727"/>
          <w:sz w:val="24"/>
          <w:szCs w:val="24"/>
          <w:lang w:val="el-GR"/>
        </w:rPr>
        <w:t>τα ευρωπαϊκά</w:t>
      </w:r>
      <w:r w:rsidRPr="002E1FFE">
        <w:rPr>
          <w:rFonts w:ascii="Calibri" w:eastAsia="Calibri" w:hAnsi="Calibri" w:cs="Calibri"/>
          <w:color w:val="272727"/>
          <w:sz w:val="24"/>
          <w:szCs w:val="24"/>
          <w:lang w:val="el-GR"/>
        </w:rPr>
        <w:t xml:space="preserve"> και τα εγχώρια πρότυπα και να αποκλείει απαγορευμένες ή προβληματικές ερωτήσεις όπως αυτές που αναφέρονται παραπάνω.</w:t>
      </w:r>
    </w:p>
    <w:p w14:paraId="6969B721" w14:textId="28A139C9" w:rsidR="002E1FFE" w:rsidRP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 xml:space="preserve">3. </w:t>
      </w:r>
      <w:r w:rsidR="0080429D">
        <w:rPr>
          <w:rFonts w:ascii="Calibri" w:eastAsia="Calibri" w:hAnsi="Calibri" w:cs="Calibri"/>
          <w:color w:val="272727"/>
          <w:sz w:val="24"/>
          <w:szCs w:val="24"/>
          <w:lang w:val="el-GR"/>
        </w:rPr>
        <w:t>Θα πρέπει να π</w:t>
      </w:r>
      <w:r w:rsidRPr="002E1FFE">
        <w:rPr>
          <w:rFonts w:ascii="Calibri" w:eastAsia="Calibri" w:hAnsi="Calibri" w:cs="Calibri"/>
          <w:color w:val="272727"/>
          <w:sz w:val="24"/>
          <w:szCs w:val="24"/>
          <w:lang w:val="el-GR"/>
        </w:rPr>
        <w:t>αρέχεται στους υπαλλήλους τακτική και ενημερωμένη εκπαίδευση σχετικά με τις ιδιαιτερότητες</w:t>
      </w:r>
      <w:r w:rsidR="0080429D">
        <w:rPr>
          <w:rFonts w:ascii="Calibri" w:eastAsia="Calibri" w:hAnsi="Calibri" w:cs="Calibri"/>
          <w:color w:val="272727"/>
          <w:sz w:val="24"/>
          <w:szCs w:val="24"/>
          <w:lang w:val="el-GR"/>
        </w:rPr>
        <w:t xml:space="preserve">, </w:t>
      </w:r>
      <w:r w:rsidRPr="002E1FFE">
        <w:rPr>
          <w:rFonts w:ascii="Calibri" w:eastAsia="Calibri" w:hAnsi="Calibri" w:cs="Calibri"/>
          <w:color w:val="272727"/>
          <w:sz w:val="24"/>
          <w:szCs w:val="24"/>
          <w:lang w:val="el-GR"/>
        </w:rPr>
        <w:t>τα τρωτά σημεία των αιτημάτων ασύλου SOGIESC (σύμφωνα με την οδηγία για τις διαδικασίες ασύλου),</w:t>
      </w:r>
      <w:r w:rsidR="0080429D">
        <w:rPr>
          <w:rFonts w:ascii="Calibri" w:eastAsia="Calibri" w:hAnsi="Calibri" w:cs="Calibri"/>
          <w:color w:val="272727"/>
          <w:sz w:val="24"/>
          <w:szCs w:val="24"/>
          <w:lang w:val="el-GR"/>
        </w:rPr>
        <w:t xml:space="preserve"> και</w:t>
      </w:r>
      <w:r w:rsidRPr="002E1FFE">
        <w:rPr>
          <w:rFonts w:ascii="Calibri" w:eastAsia="Calibri" w:hAnsi="Calibri" w:cs="Calibri"/>
          <w:color w:val="272727"/>
          <w:sz w:val="24"/>
          <w:szCs w:val="24"/>
          <w:lang w:val="el-GR"/>
        </w:rPr>
        <w:t xml:space="preserve"> τα νομικά πρότυπα</w:t>
      </w:r>
      <w:r w:rsidR="0080429D">
        <w:rPr>
          <w:rFonts w:ascii="Calibri" w:eastAsia="Calibri" w:hAnsi="Calibri" w:cs="Calibri"/>
          <w:color w:val="272727"/>
          <w:sz w:val="24"/>
          <w:szCs w:val="24"/>
          <w:lang w:val="el-GR"/>
        </w:rPr>
        <w:t xml:space="preserve">. Επίσης, </w:t>
      </w:r>
      <w:r w:rsidRPr="002E1FFE">
        <w:rPr>
          <w:rFonts w:ascii="Calibri" w:eastAsia="Calibri" w:hAnsi="Calibri" w:cs="Calibri"/>
          <w:color w:val="272727"/>
          <w:sz w:val="24"/>
          <w:szCs w:val="24"/>
          <w:lang w:val="el-GR"/>
        </w:rPr>
        <w:t>πρακτικές πληροφορίες για τη διεξαγωγή αξιολογήσεων με σεβασμό και καλά ενημερωμένη προσέγγιση .</w:t>
      </w:r>
    </w:p>
    <w:p w14:paraId="17A3646D" w14:textId="77777777" w:rsidR="002E1FFE" w:rsidRPr="002E1FFE" w:rsidRDefault="002E1FFE" w:rsidP="002E1FFE">
      <w:pPr>
        <w:spacing w:before="0"/>
        <w:jc w:val="both"/>
        <w:rPr>
          <w:rFonts w:ascii="Calibri" w:eastAsia="Calibri" w:hAnsi="Calibri" w:cs="Calibri"/>
          <w:color w:val="272727"/>
          <w:sz w:val="24"/>
          <w:szCs w:val="24"/>
          <w:lang w:val="el-GR"/>
        </w:rPr>
      </w:pPr>
    </w:p>
    <w:p w14:paraId="07074BAF" w14:textId="1C20C8AF" w:rsidR="002E1FFE" w:rsidRDefault="002E1FFE" w:rsidP="002E1FFE">
      <w:pPr>
        <w:spacing w:before="0"/>
        <w:jc w:val="both"/>
        <w:rPr>
          <w:rFonts w:ascii="Calibri" w:eastAsia="Calibri" w:hAnsi="Calibri" w:cs="Calibri"/>
          <w:color w:val="272727"/>
          <w:sz w:val="24"/>
          <w:szCs w:val="24"/>
          <w:lang w:val="el-GR"/>
        </w:rPr>
      </w:pPr>
      <w:r w:rsidRPr="002E1FFE">
        <w:rPr>
          <w:rFonts w:ascii="Calibri" w:eastAsia="Calibri" w:hAnsi="Calibri" w:cs="Calibri"/>
          <w:color w:val="272727"/>
          <w:sz w:val="24"/>
          <w:szCs w:val="24"/>
          <w:lang w:val="el-GR"/>
        </w:rPr>
        <w:t>Σας ευχαριστούμε για τη συνεχή προσοχή σας σε αυτό το θέμα. Παραμένουμε στη διάθεσή σας για οποιεσδήποτε περαιτέρω διευκρινίσεις και συνεχείς συζητήσεις.</w:t>
      </w:r>
    </w:p>
    <w:p w14:paraId="30BF932E" w14:textId="407E08A1" w:rsidR="0080429D" w:rsidRDefault="0080429D" w:rsidP="002E1FFE">
      <w:pPr>
        <w:spacing w:before="0"/>
        <w:jc w:val="both"/>
        <w:rPr>
          <w:rFonts w:ascii="Calibri" w:eastAsia="Calibri" w:hAnsi="Calibri" w:cs="Calibri"/>
          <w:color w:val="272727"/>
          <w:sz w:val="24"/>
          <w:szCs w:val="24"/>
          <w:lang w:val="el-GR"/>
        </w:rPr>
      </w:pPr>
    </w:p>
    <w:sectPr w:rsidR="0080429D">
      <w:headerReference w:type="default" r:id="rId10"/>
      <w:headerReference w:type="first" r:id="rId11"/>
      <w:footerReference w:type="first" r:id="rId12"/>
      <w:pgSz w:w="12240" w:h="15840"/>
      <w:pgMar w:top="1080"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9317" w14:textId="77777777" w:rsidR="0000433E" w:rsidRDefault="0000433E">
      <w:pPr>
        <w:spacing w:before="0" w:line="240" w:lineRule="auto"/>
      </w:pPr>
      <w:r>
        <w:separator/>
      </w:r>
    </w:p>
  </w:endnote>
  <w:endnote w:type="continuationSeparator" w:id="0">
    <w:p w14:paraId="10065D41" w14:textId="77777777" w:rsidR="0000433E" w:rsidRDefault="0000433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T Sans Narrow">
    <w:charset w:val="00"/>
    <w:family w:val="swiss"/>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2070" w14:textId="77777777" w:rsidR="009F645F" w:rsidRDefault="009F645F">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4719" w14:textId="77777777" w:rsidR="0000433E" w:rsidRDefault="0000433E">
      <w:pPr>
        <w:spacing w:before="0" w:line="240" w:lineRule="auto"/>
      </w:pPr>
      <w:r>
        <w:separator/>
      </w:r>
    </w:p>
  </w:footnote>
  <w:footnote w:type="continuationSeparator" w:id="0">
    <w:p w14:paraId="5AD1417E" w14:textId="77777777" w:rsidR="0000433E" w:rsidRDefault="0000433E">
      <w:pPr>
        <w:spacing w:before="0" w:line="240" w:lineRule="auto"/>
      </w:pPr>
      <w:r>
        <w:continuationSeparator/>
      </w:r>
    </w:p>
  </w:footnote>
  <w:footnote w:id="1">
    <w:p w14:paraId="3291C772" w14:textId="75BA160F" w:rsidR="0080429D" w:rsidRPr="0080429D" w:rsidRDefault="0080429D">
      <w:pPr>
        <w:pStyle w:val="FootnoteText"/>
      </w:pPr>
      <w:r>
        <w:rPr>
          <w:rStyle w:val="FootnoteReference"/>
        </w:rPr>
        <w:footnoteRef/>
      </w:r>
      <w:r>
        <w:t xml:space="preserve"> </w:t>
      </w:r>
      <w:r>
        <w:rPr>
          <w:rFonts w:ascii="Calibri" w:eastAsia="Calibri" w:hAnsi="Calibri" w:cs="Calibri"/>
          <w:color w:val="545454"/>
          <w:sz w:val="18"/>
          <w:szCs w:val="18"/>
          <w:highlight w:val="white"/>
        </w:rPr>
        <w:t xml:space="preserve">B and C v Switzerland (Applications nos. 889/19 and 43987/16) (ECtHR, 2020); James Michael  Brennan (2021), ‘Hiding the Authentic Self: Concealment of Gender and Sexual  Identity and its Consequences for Authenticity and Psychological Well-being’,  Available at: </w:t>
      </w:r>
      <w:hyperlink r:id="rId1">
        <w:r>
          <w:rPr>
            <w:rFonts w:ascii="Calibri" w:eastAsia="Calibri" w:hAnsi="Calibri" w:cs="Calibri"/>
            <w:color w:val="545454"/>
            <w:sz w:val="18"/>
            <w:szCs w:val="18"/>
            <w:highlight w:val="white"/>
          </w:rPr>
          <w:t>https://scholarworks.umt.edu/cgi/viewcontent.cgi?article=12892&amp;context=etd</w:t>
        </w:r>
      </w:hyperlink>
      <w:r>
        <w:rPr>
          <w:rFonts w:ascii="Calibri" w:eastAsia="Calibri" w:hAnsi="Calibri" w:cs="Calibri"/>
          <w:color w:val="545454"/>
          <w:sz w:val="18"/>
          <w:szCs w:val="18"/>
          <w:highlight w:val="white"/>
        </w:rPr>
        <w:t>; B and C v Switzerland (Applications nos. 889/19 and 43987/16) (ECtHR, 2020).</w:t>
      </w:r>
    </w:p>
  </w:footnote>
  <w:footnote w:id="2">
    <w:p w14:paraId="6871FD32" w14:textId="77777777" w:rsidR="0080429D" w:rsidRDefault="0080429D" w:rsidP="0080429D">
      <w:pPr>
        <w:spacing w:before="0" w:line="240" w:lineRule="auto"/>
        <w:jc w:val="both"/>
        <w:rPr>
          <w:sz w:val="20"/>
          <w:szCs w:val="20"/>
        </w:rPr>
      </w:pPr>
      <w:r>
        <w:rPr>
          <w:rStyle w:val="FootnoteReference"/>
        </w:rPr>
        <w:footnoteRef/>
      </w:r>
      <w:r>
        <w:t xml:space="preserve"> </w:t>
      </w:r>
      <w:r>
        <w:rPr>
          <w:rFonts w:ascii="Calibri" w:eastAsia="Calibri" w:hAnsi="Calibri" w:cs="Calibri"/>
          <w:color w:val="545454"/>
          <w:sz w:val="18"/>
          <w:szCs w:val="18"/>
        </w:rPr>
        <w:t xml:space="preserve">X, Y, Z v Minister </w:t>
      </w:r>
      <w:proofErr w:type="spellStart"/>
      <w:r>
        <w:rPr>
          <w:rFonts w:ascii="Calibri" w:eastAsia="Calibri" w:hAnsi="Calibri" w:cs="Calibri"/>
          <w:color w:val="545454"/>
          <w:sz w:val="18"/>
          <w:szCs w:val="18"/>
        </w:rPr>
        <w:t>voor</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Immigratie</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en</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Asiel</w:t>
      </w:r>
      <w:proofErr w:type="spellEnd"/>
      <w:r>
        <w:rPr>
          <w:rFonts w:ascii="Calibri" w:eastAsia="Calibri" w:hAnsi="Calibri" w:cs="Calibri"/>
          <w:color w:val="545454"/>
          <w:sz w:val="18"/>
          <w:szCs w:val="18"/>
        </w:rPr>
        <w:t xml:space="preserve"> (2013, </w:t>
      </w:r>
      <w:proofErr w:type="spellStart"/>
      <w:r>
        <w:rPr>
          <w:rFonts w:ascii="Calibri" w:eastAsia="Calibri" w:hAnsi="Calibri" w:cs="Calibri"/>
          <w:color w:val="545454"/>
          <w:sz w:val="18"/>
          <w:szCs w:val="18"/>
        </w:rPr>
        <w:t>CJEU</w:t>
      </w:r>
      <w:proofErr w:type="spellEnd"/>
      <w:r>
        <w:rPr>
          <w:rFonts w:ascii="Calibri" w:eastAsia="Calibri" w:hAnsi="Calibri" w:cs="Calibri"/>
          <w:color w:val="545454"/>
          <w:sz w:val="18"/>
          <w:szCs w:val="18"/>
        </w:rPr>
        <w:t>); B and C v Switzerland (Applications nos. 889/19 and 43987/16) (ECtHR, 2020); Greece, Special Appeal Committee (A.G. v. the General Secretary of the former Ministry of Public Order, No. 95/56266) (Special Appeals Committee, 2012).</w:t>
      </w:r>
    </w:p>
    <w:p w14:paraId="3192AC91" w14:textId="780B56A7" w:rsidR="0080429D" w:rsidRPr="0080429D" w:rsidRDefault="0080429D">
      <w:pPr>
        <w:pStyle w:val="FootnoteText"/>
      </w:pPr>
    </w:p>
  </w:footnote>
  <w:footnote w:id="3">
    <w:p w14:paraId="144FF55A" w14:textId="77777777" w:rsidR="0080429D" w:rsidRDefault="0080429D" w:rsidP="0080429D">
      <w:pPr>
        <w:spacing w:before="0" w:line="240" w:lineRule="auto"/>
        <w:jc w:val="both"/>
        <w:rPr>
          <w:sz w:val="18"/>
          <w:szCs w:val="18"/>
        </w:rPr>
      </w:pPr>
      <w:r>
        <w:rPr>
          <w:rStyle w:val="FootnoteReference"/>
        </w:rPr>
        <w:footnoteRef/>
      </w:r>
      <w:r>
        <w:t xml:space="preserve"> </w:t>
      </w:r>
      <w:r>
        <w:rPr>
          <w:rFonts w:ascii="Calibri" w:eastAsia="Calibri" w:hAnsi="Calibri" w:cs="Calibri"/>
          <w:color w:val="545454"/>
          <w:sz w:val="18"/>
          <w:szCs w:val="18"/>
        </w:rPr>
        <w:t xml:space="preserve">Joined Cases C-148/13 to C-150/13, A, B, C v </w:t>
      </w:r>
      <w:proofErr w:type="spellStart"/>
      <w:r>
        <w:rPr>
          <w:rFonts w:ascii="Calibri" w:eastAsia="Calibri" w:hAnsi="Calibri" w:cs="Calibri"/>
          <w:color w:val="545454"/>
          <w:sz w:val="18"/>
          <w:szCs w:val="18"/>
        </w:rPr>
        <w:t>Staatssecretaris</w:t>
      </w:r>
      <w:proofErr w:type="spellEnd"/>
      <w:r>
        <w:rPr>
          <w:rFonts w:ascii="Calibri" w:eastAsia="Calibri" w:hAnsi="Calibri" w:cs="Calibri"/>
          <w:color w:val="545454"/>
          <w:sz w:val="18"/>
          <w:szCs w:val="18"/>
        </w:rPr>
        <w:t xml:space="preserve"> van </w:t>
      </w:r>
      <w:proofErr w:type="spellStart"/>
      <w:r>
        <w:rPr>
          <w:rFonts w:ascii="Calibri" w:eastAsia="Calibri" w:hAnsi="Calibri" w:cs="Calibri"/>
          <w:color w:val="545454"/>
          <w:sz w:val="18"/>
          <w:szCs w:val="18"/>
        </w:rPr>
        <w:t>Veiligheid</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en</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Justitie</w:t>
      </w:r>
      <w:proofErr w:type="spellEnd"/>
      <w:r>
        <w:rPr>
          <w:rFonts w:ascii="Calibri" w:eastAsia="Calibri" w:hAnsi="Calibri" w:cs="Calibri"/>
          <w:color w:val="545454"/>
          <w:sz w:val="18"/>
          <w:szCs w:val="18"/>
        </w:rPr>
        <w:t>, (</w:t>
      </w:r>
      <w:proofErr w:type="gramStart"/>
      <w:r>
        <w:rPr>
          <w:rFonts w:ascii="Calibri" w:eastAsia="Calibri" w:hAnsi="Calibri" w:cs="Calibri"/>
          <w:color w:val="545454"/>
          <w:sz w:val="18"/>
          <w:szCs w:val="18"/>
        </w:rPr>
        <w:t>2014 )</w:t>
      </w:r>
      <w:proofErr w:type="gramEnd"/>
      <w:r>
        <w:rPr>
          <w:rFonts w:ascii="Calibri" w:eastAsia="Calibri" w:hAnsi="Calibri" w:cs="Calibri"/>
          <w:color w:val="545454"/>
          <w:sz w:val="18"/>
          <w:szCs w:val="18"/>
        </w:rPr>
        <w:t xml:space="preserve"> (ABC decision); Joined Cases C-199/12 - C-199/12 - C-201/12, X, Y, Z v Minister </w:t>
      </w:r>
      <w:proofErr w:type="spellStart"/>
      <w:r>
        <w:rPr>
          <w:rFonts w:ascii="Calibri" w:eastAsia="Calibri" w:hAnsi="Calibri" w:cs="Calibri"/>
          <w:color w:val="545454"/>
          <w:sz w:val="18"/>
          <w:szCs w:val="18"/>
        </w:rPr>
        <w:t>voor</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Immigratie</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en</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Asiel</w:t>
      </w:r>
      <w:proofErr w:type="spellEnd"/>
      <w:r>
        <w:rPr>
          <w:rFonts w:ascii="Calibri" w:eastAsia="Calibri" w:hAnsi="Calibri" w:cs="Calibri"/>
          <w:color w:val="545454"/>
          <w:sz w:val="18"/>
          <w:szCs w:val="18"/>
        </w:rPr>
        <w:t xml:space="preserve"> (2013) (XYZ decision).</w:t>
      </w:r>
    </w:p>
    <w:p w14:paraId="522AB317" w14:textId="5A844B3F" w:rsidR="0080429D" w:rsidRPr="0080429D" w:rsidRDefault="0080429D">
      <w:pPr>
        <w:pStyle w:val="FootnoteText"/>
      </w:pPr>
    </w:p>
  </w:footnote>
  <w:footnote w:id="4">
    <w:p w14:paraId="742D9805" w14:textId="56C3AB2A" w:rsidR="0080429D" w:rsidRPr="0080429D" w:rsidRDefault="0080429D">
      <w:pPr>
        <w:pStyle w:val="FootnoteText"/>
      </w:pPr>
      <w:r>
        <w:rPr>
          <w:rStyle w:val="FootnoteReference"/>
        </w:rPr>
        <w:footnoteRef/>
      </w:r>
      <w:r>
        <w:t xml:space="preserve"> </w:t>
      </w:r>
      <w:r>
        <w:rPr>
          <w:rFonts w:ascii="Calibri" w:eastAsia="Calibri" w:hAnsi="Calibri" w:cs="Calibri"/>
          <w:color w:val="545454"/>
          <w:sz w:val="18"/>
          <w:szCs w:val="18"/>
        </w:rPr>
        <w:t>See European Parliament and Council Directive 2013/32/EU of 26 June 2013 on common procedures for granting and withdrawing international protection (recast), OJ L 189 (Asylum Procedures Directive).</w:t>
      </w:r>
    </w:p>
  </w:footnote>
  <w:footnote w:id="5">
    <w:p w14:paraId="2FDB7B01" w14:textId="3D5A3AF1" w:rsidR="0080429D" w:rsidRPr="0080429D" w:rsidRDefault="0080429D">
      <w:pPr>
        <w:pStyle w:val="FootnoteText"/>
      </w:pPr>
      <w:r>
        <w:rPr>
          <w:rStyle w:val="FootnoteReference"/>
        </w:rPr>
        <w:footnoteRef/>
      </w:r>
      <w:r>
        <w:t xml:space="preserve"> </w:t>
      </w:r>
      <w:r>
        <w:rPr>
          <w:rFonts w:ascii="Calibri" w:eastAsia="Calibri" w:hAnsi="Calibri" w:cs="Calibri"/>
          <w:color w:val="545454"/>
          <w:sz w:val="18"/>
          <w:szCs w:val="18"/>
        </w:rPr>
        <w:t xml:space="preserve">Joined Cases C-148/13 to C-150/13, A, B, C v </w:t>
      </w:r>
      <w:proofErr w:type="spellStart"/>
      <w:r>
        <w:rPr>
          <w:rFonts w:ascii="Calibri" w:eastAsia="Calibri" w:hAnsi="Calibri" w:cs="Calibri"/>
          <w:color w:val="545454"/>
          <w:sz w:val="18"/>
          <w:szCs w:val="18"/>
        </w:rPr>
        <w:t>Staatssecretaris</w:t>
      </w:r>
      <w:proofErr w:type="spellEnd"/>
      <w:r>
        <w:rPr>
          <w:rFonts w:ascii="Calibri" w:eastAsia="Calibri" w:hAnsi="Calibri" w:cs="Calibri"/>
          <w:color w:val="545454"/>
          <w:sz w:val="18"/>
          <w:szCs w:val="18"/>
        </w:rPr>
        <w:t xml:space="preserve"> van </w:t>
      </w:r>
      <w:proofErr w:type="spellStart"/>
      <w:r>
        <w:rPr>
          <w:rFonts w:ascii="Calibri" w:eastAsia="Calibri" w:hAnsi="Calibri" w:cs="Calibri"/>
          <w:color w:val="545454"/>
          <w:sz w:val="18"/>
          <w:szCs w:val="18"/>
        </w:rPr>
        <w:t>Veiligheid</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en</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Justitie</w:t>
      </w:r>
      <w:proofErr w:type="spellEnd"/>
      <w:r>
        <w:rPr>
          <w:rFonts w:ascii="Calibri" w:eastAsia="Calibri" w:hAnsi="Calibri" w:cs="Calibri"/>
          <w:color w:val="545454"/>
          <w:sz w:val="18"/>
          <w:szCs w:val="18"/>
        </w:rPr>
        <w:t xml:space="preserve">, (2014, </w:t>
      </w:r>
      <w:proofErr w:type="spellStart"/>
      <w:r>
        <w:rPr>
          <w:rFonts w:ascii="Calibri" w:eastAsia="Calibri" w:hAnsi="Calibri" w:cs="Calibri"/>
          <w:color w:val="545454"/>
          <w:sz w:val="18"/>
          <w:szCs w:val="18"/>
        </w:rPr>
        <w:t>CJEU</w:t>
      </w:r>
      <w:proofErr w:type="spellEnd"/>
      <w:r>
        <w:rPr>
          <w:rFonts w:ascii="Calibri" w:eastAsia="Calibri" w:hAnsi="Calibri" w:cs="Calibri"/>
          <w:color w:val="545454"/>
          <w:sz w:val="18"/>
          <w:szCs w:val="18"/>
        </w:rPr>
        <w:t>) (ABC decision); Applicant (Iran) v Asylum Office (Greece). Case no: 16937/2019.</w:t>
      </w:r>
    </w:p>
  </w:footnote>
  <w:footnote w:id="6">
    <w:p w14:paraId="2FC83F41" w14:textId="39890EF8" w:rsidR="0080429D" w:rsidRPr="0080429D" w:rsidRDefault="0080429D">
      <w:pPr>
        <w:pStyle w:val="FootnoteText"/>
      </w:pPr>
      <w:r>
        <w:rPr>
          <w:rStyle w:val="FootnoteReference"/>
        </w:rPr>
        <w:footnoteRef/>
      </w:r>
      <w:r>
        <w:t xml:space="preserve"> </w:t>
      </w:r>
      <w:r>
        <w:rPr>
          <w:rFonts w:ascii="Calibri" w:eastAsia="Calibri" w:hAnsi="Calibri" w:cs="Calibri"/>
          <w:color w:val="545454"/>
          <w:sz w:val="18"/>
          <w:szCs w:val="18"/>
        </w:rPr>
        <w:t>Asylum Procedures Directive, Article 4(3) and 15(3).</w:t>
      </w:r>
    </w:p>
  </w:footnote>
  <w:footnote w:id="7">
    <w:p w14:paraId="55F2FEF6" w14:textId="16B82F99" w:rsidR="0080429D" w:rsidRPr="0080429D" w:rsidRDefault="0080429D">
      <w:pPr>
        <w:pStyle w:val="FootnoteText"/>
      </w:pPr>
      <w:r>
        <w:rPr>
          <w:rStyle w:val="FootnoteReference"/>
        </w:rPr>
        <w:footnoteRef/>
      </w:r>
      <w:r>
        <w:t xml:space="preserve"> </w:t>
      </w:r>
      <w:r>
        <w:rPr>
          <w:rFonts w:ascii="Calibri" w:eastAsia="Calibri" w:hAnsi="Calibri" w:cs="Calibri"/>
          <w:color w:val="545454"/>
          <w:sz w:val="18"/>
          <w:szCs w:val="18"/>
        </w:rPr>
        <w:t xml:space="preserve">Joined Cases C-148/13 to C-150/13, A, B, C v </w:t>
      </w:r>
      <w:proofErr w:type="spellStart"/>
      <w:r>
        <w:rPr>
          <w:rFonts w:ascii="Calibri" w:eastAsia="Calibri" w:hAnsi="Calibri" w:cs="Calibri"/>
          <w:color w:val="545454"/>
          <w:sz w:val="18"/>
          <w:szCs w:val="18"/>
        </w:rPr>
        <w:t>Staatssecretaris</w:t>
      </w:r>
      <w:proofErr w:type="spellEnd"/>
      <w:r>
        <w:rPr>
          <w:rFonts w:ascii="Calibri" w:eastAsia="Calibri" w:hAnsi="Calibri" w:cs="Calibri"/>
          <w:color w:val="545454"/>
          <w:sz w:val="18"/>
          <w:szCs w:val="18"/>
        </w:rPr>
        <w:t xml:space="preserve"> van </w:t>
      </w:r>
      <w:proofErr w:type="spellStart"/>
      <w:r>
        <w:rPr>
          <w:rFonts w:ascii="Calibri" w:eastAsia="Calibri" w:hAnsi="Calibri" w:cs="Calibri"/>
          <w:color w:val="545454"/>
          <w:sz w:val="18"/>
          <w:szCs w:val="18"/>
        </w:rPr>
        <w:t>Veiligheid</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en</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Justitie</w:t>
      </w:r>
      <w:proofErr w:type="spellEnd"/>
      <w:r>
        <w:rPr>
          <w:rFonts w:ascii="Calibri" w:eastAsia="Calibri" w:hAnsi="Calibri" w:cs="Calibri"/>
          <w:color w:val="545454"/>
          <w:sz w:val="18"/>
          <w:szCs w:val="18"/>
        </w:rPr>
        <w:t xml:space="preserve">, (2014, </w:t>
      </w:r>
      <w:proofErr w:type="spellStart"/>
      <w:r>
        <w:rPr>
          <w:rFonts w:ascii="Calibri" w:eastAsia="Calibri" w:hAnsi="Calibri" w:cs="Calibri"/>
          <w:color w:val="545454"/>
          <w:sz w:val="18"/>
          <w:szCs w:val="18"/>
        </w:rPr>
        <w:t>CJEU</w:t>
      </w:r>
      <w:proofErr w:type="spellEnd"/>
      <w:r>
        <w:rPr>
          <w:rFonts w:ascii="Calibri" w:eastAsia="Calibri" w:hAnsi="Calibri" w:cs="Calibri"/>
          <w:color w:val="545454"/>
          <w:sz w:val="18"/>
          <w:szCs w:val="18"/>
        </w:rPr>
        <w:t>) (ABC decision).</w:t>
      </w:r>
    </w:p>
  </w:footnote>
  <w:footnote w:id="8">
    <w:p w14:paraId="2919E91A" w14:textId="77777777" w:rsidR="0080429D" w:rsidRDefault="0080429D" w:rsidP="0080429D">
      <w:pPr>
        <w:spacing w:before="0" w:line="240" w:lineRule="auto"/>
        <w:jc w:val="both"/>
        <w:rPr>
          <w:rFonts w:ascii="Calibri" w:eastAsia="Calibri" w:hAnsi="Calibri" w:cs="Calibri"/>
          <w:color w:val="545454"/>
          <w:sz w:val="18"/>
          <w:szCs w:val="18"/>
        </w:rPr>
      </w:pPr>
      <w:r>
        <w:rPr>
          <w:rStyle w:val="FootnoteReference"/>
        </w:rPr>
        <w:footnoteRef/>
      </w:r>
      <w:r>
        <w:t xml:space="preserve"> </w:t>
      </w:r>
      <w:r>
        <w:rPr>
          <w:rFonts w:ascii="Calibri" w:eastAsia="Calibri" w:hAnsi="Calibri" w:cs="Calibri"/>
          <w:color w:val="545454"/>
          <w:sz w:val="18"/>
          <w:szCs w:val="18"/>
        </w:rPr>
        <w:t>United Nations High Commissioner for Refugees (UNHCR), ‘Guidelines on international protection no. 9: Claims to Refugee Status based on Sexual Orientation and/or Gender Identity within the context of Article 1</w:t>
      </w:r>
      <w:proofErr w:type="gramStart"/>
      <w:r>
        <w:rPr>
          <w:rFonts w:ascii="Calibri" w:eastAsia="Calibri" w:hAnsi="Calibri" w:cs="Calibri"/>
          <w:color w:val="545454"/>
          <w:sz w:val="18"/>
          <w:szCs w:val="18"/>
        </w:rPr>
        <w:t>A(</w:t>
      </w:r>
      <w:proofErr w:type="gramEnd"/>
      <w:r>
        <w:rPr>
          <w:rFonts w:ascii="Calibri" w:eastAsia="Calibri" w:hAnsi="Calibri" w:cs="Calibri"/>
          <w:color w:val="545454"/>
          <w:sz w:val="18"/>
          <w:szCs w:val="18"/>
        </w:rPr>
        <w:t>2) of the 1951 Convention and/or its 1967 Protocol relating to the Status of Refugees’ HCR/GIP/12/09, 23 October 2012.</w:t>
      </w:r>
    </w:p>
    <w:p w14:paraId="7CB38C2F" w14:textId="621050A7" w:rsidR="0080429D" w:rsidRPr="0080429D" w:rsidRDefault="0080429D">
      <w:pPr>
        <w:pStyle w:val="FootnoteText"/>
      </w:pPr>
    </w:p>
  </w:footnote>
  <w:footnote w:id="9">
    <w:p w14:paraId="33D25F57" w14:textId="0D5C9613" w:rsidR="007B4A39" w:rsidRPr="007B4A39" w:rsidRDefault="007B4A39">
      <w:pPr>
        <w:pStyle w:val="FootnoteText"/>
        <w:rPr>
          <w:lang w:val="en-US"/>
        </w:rPr>
      </w:pPr>
      <w:r>
        <w:rPr>
          <w:rStyle w:val="FootnoteReference"/>
        </w:rPr>
        <w:footnoteRef/>
      </w:r>
      <w:r>
        <w:t xml:space="preserve"> </w:t>
      </w:r>
      <w:r>
        <w:rPr>
          <w:rFonts w:ascii="Calibri" w:eastAsia="Calibri" w:hAnsi="Calibri" w:cs="Calibri"/>
          <w:color w:val="545454"/>
          <w:sz w:val="18"/>
          <w:szCs w:val="18"/>
        </w:rPr>
        <w:t xml:space="preserve">Joined Cases C-148/13 to C-150/13, A, B, C v </w:t>
      </w:r>
      <w:proofErr w:type="spellStart"/>
      <w:r>
        <w:rPr>
          <w:rFonts w:ascii="Calibri" w:eastAsia="Calibri" w:hAnsi="Calibri" w:cs="Calibri"/>
          <w:color w:val="545454"/>
          <w:sz w:val="18"/>
          <w:szCs w:val="18"/>
        </w:rPr>
        <w:t>Staatssecretaris</w:t>
      </w:r>
      <w:proofErr w:type="spellEnd"/>
      <w:r>
        <w:rPr>
          <w:rFonts w:ascii="Calibri" w:eastAsia="Calibri" w:hAnsi="Calibri" w:cs="Calibri"/>
          <w:color w:val="545454"/>
          <w:sz w:val="18"/>
          <w:szCs w:val="18"/>
        </w:rPr>
        <w:t xml:space="preserve"> van </w:t>
      </w:r>
      <w:proofErr w:type="spellStart"/>
      <w:r>
        <w:rPr>
          <w:rFonts w:ascii="Calibri" w:eastAsia="Calibri" w:hAnsi="Calibri" w:cs="Calibri"/>
          <w:color w:val="545454"/>
          <w:sz w:val="18"/>
          <w:szCs w:val="18"/>
        </w:rPr>
        <w:t>Veiligheid</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en</w:t>
      </w:r>
      <w:proofErr w:type="spellEnd"/>
      <w:r>
        <w:rPr>
          <w:rFonts w:ascii="Calibri" w:eastAsia="Calibri" w:hAnsi="Calibri" w:cs="Calibri"/>
          <w:color w:val="545454"/>
          <w:sz w:val="18"/>
          <w:szCs w:val="18"/>
        </w:rPr>
        <w:t xml:space="preserve"> </w:t>
      </w:r>
      <w:proofErr w:type="spellStart"/>
      <w:r>
        <w:rPr>
          <w:rFonts w:ascii="Calibri" w:eastAsia="Calibri" w:hAnsi="Calibri" w:cs="Calibri"/>
          <w:color w:val="545454"/>
          <w:sz w:val="18"/>
          <w:szCs w:val="18"/>
        </w:rPr>
        <w:t>Justitie</w:t>
      </w:r>
      <w:proofErr w:type="spellEnd"/>
      <w:r>
        <w:rPr>
          <w:rFonts w:ascii="Calibri" w:eastAsia="Calibri" w:hAnsi="Calibri" w:cs="Calibri"/>
          <w:color w:val="545454"/>
          <w:sz w:val="18"/>
          <w:szCs w:val="18"/>
        </w:rPr>
        <w:t xml:space="preserve">, (2014, </w:t>
      </w:r>
      <w:proofErr w:type="spellStart"/>
      <w:r>
        <w:rPr>
          <w:rFonts w:ascii="Calibri" w:eastAsia="Calibri" w:hAnsi="Calibri" w:cs="Calibri"/>
          <w:color w:val="545454"/>
          <w:sz w:val="18"/>
          <w:szCs w:val="18"/>
        </w:rPr>
        <w:t>CJEU</w:t>
      </w:r>
      <w:proofErr w:type="spellEnd"/>
      <w:r>
        <w:rPr>
          <w:rFonts w:ascii="Calibri" w:eastAsia="Calibri" w:hAnsi="Calibri" w:cs="Calibri"/>
          <w:color w:val="545454"/>
          <w:sz w:val="18"/>
          <w:szCs w:val="18"/>
        </w:rPr>
        <w:t>) (ABC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65FC" w14:textId="77777777" w:rsidR="009F645F" w:rsidRDefault="0000433E">
    <w:pPr>
      <w:pBdr>
        <w:top w:val="nil"/>
        <w:left w:val="nil"/>
        <w:bottom w:val="nil"/>
        <w:right w:val="nil"/>
        <w:between w:val="nil"/>
      </w:pBdr>
      <w:spacing w:after="200"/>
    </w:pPr>
    <w:r>
      <w:rPr>
        <w:noProof/>
      </w:rPr>
      <w:drawing>
        <wp:anchor distT="114300" distB="114300" distL="114300" distR="114300" simplePos="0" relativeHeight="251658240" behindDoc="0" locked="0" layoutInCell="1" hidden="0" allowOverlap="1" wp14:anchorId="03BFBC07" wp14:editId="6D9D1887">
          <wp:simplePos x="0" y="0"/>
          <wp:positionH relativeFrom="column">
            <wp:posOffset>1</wp:posOffset>
          </wp:positionH>
          <wp:positionV relativeFrom="paragraph">
            <wp:posOffset>133350</wp:posOffset>
          </wp:positionV>
          <wp:extent cx="6067425" cy="9525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36000"/>
                  </a:blip>
                  <a:srcRect t="15384" b="33333"/>
                  <a:stretch>
                    <a:fillRect/>
                  </a:stretch>
                </pic:blipFill>
                <pic:spPr>
                  <a:xfrm>
                    <a:off x="0" y="0"/>
                    <a:ext cx="6067425" cy="952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2619" w14:textId="77777777" w:rsidR="009F645F" w:rsidRDefault="009F645F">
    <w:pPr>
      <w:pBdr>
        <w:top w:val="nil"/>
        <w:left w:val="nil"/>
        <w:bottom w:val="nil"/>
        <w:right w:val="nil"/>
        <w:between w:val="nil"/>
      </w:pBdr>
      <w:spacing w:before="400"/>
      <w:jc w:val="right"/>
      <w:rPr>
        <w:rFonts w:ascii="PT Sans Narrow" w:eastAsia="PT Sans Narrow" w:hAnsi="PT Sans Narrow" w:cs="PT Sans Narrow"/>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97A"/>
    <w:multiLevelType w:val="multilevel"/>
    <w:tmpl w:val="8B6AF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B35FBA"/>
    <w:multiLevelType w:val="multilevel"/>
    <w:tmpl w:val="3A82DE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FB13CD"/>
    <w:multiLevelType w:val="multilevel"/>
    <w:tmpl w:val="C1961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F934BA"/>
    <w:multiLevelType w:val="multilevel"/>
    <w:tmpl w:val="0FB843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96775F2"/>
    <w:multiLevelType w:val="multilevel"/>
    <w:tmpl w:val="28886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EAD4252"/>
    <w:multiLevelType w:val="multilevel"/>
    <w:tmpl w:val="29949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E900A20"/>
    <w:multiLevelType w:val="multilevel"/>
    <w:tmpl w:val="1E1805F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E833BC0"/>
    <w:multiLevelType w:val="multilevel"/>
    <w:tmpl w:val="EFC055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5F"/>
    <w:rsid w:val="0000433E"/>
    <w:rsid w:val="002E1FFE"/>
    <w:rsid w:val="004128E4"/>
    <w:rsid w:val="00430BCF"/>
    <w:rsid w:val="007B4A39"/>
    <w:rsid w:val="0080429D"/>
    <w:rsid w:val="008B4560"/>
    <w:rsid w:val="009F645F"/>
    <w:rsid w:val="00B4275F"/>
    <w:rsid w:val="00D873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F00F"/>
  <w15:docId w15:val="{C81E6FE1-787B-492A-B4EF-8A6FAD20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color w:val="695D46"/>
        <w:sz w:val="22"/>
        <w:szCs w:val="22"/>
        <w:lang w:val="en" w:eastAsia="fr-CH"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line="312" w:lineRule="auto"/>
      <w:outlineLvl w:val="0"/>
    </w:pPr>
    <w:rPr>
      <w:rFonts w:ascii="PT Sans Narrow" w:eastAsia="PT Sans Narrow" w:hAnsi="PT Sans Narrow" w:cs="PT Sans Narrow"/>
      <w:b/>
      <w:color w:val="FF5E0E"/>
      <w:sz w:val="36"/>
      <w:szCs w:val="36"/>
    </w:rPr>
  </w:style>
  <w:style w:type="paragraph" w:styleId="Heading2">
    <w:name w:val="heading 2"/>
    <w:basedOn w:val="Normal"/>
    <w:next w:val="Normal"/>
    <w:uiPriority w:val="9"/>
    <w:unhideWhenUsed/>
    <w:qFormat/>
    <w:pPr>
      <w:outlineLvl w:val="1"/>
    </w:pPr>
    <w:rPr>
      <w:rFonts w:ascii="PT Sans Narrow" w:eastAsia="PT Sans Narrow" w:hAnsi="PT Sans Narrow" w:cs="PT Sans Narrow"/>
      <w:color w:val="008575"/>
      <w:sz w:val="32"/>
      <w:szCs w:val="32"/>
    </w:rPr>
  </w:style>
  <w:style w:type="paragraph" w:styleId="Heading3">
    <w:name w:val="heading 3"/>
    <w:basedOn w:val="Normal"/>
    <w:next w:val="Normal"/>
    <w:uiPriority w:val="9"/>
    <w:semiHidden/>
    <w:unhideWhenUsed/>
    <w:qFormat/>
    <w:pPr>
      <w:spacing w:before="0" w:after="120" w:line="240" w:lineRule="auto"/>
      <w:outlineLvl w:val="2"/>
    </w:pPr>
    <w:rPr>
      <w:rFonts w:ascii="PT Sans Narrow" w:eastAsia="PT Sans Narrow" w:hAnsi="PT Sans Narrow" w:cs="PT Sans Narrow"/>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pPr>
    <w:rPr>
      <w:rFonts w:ascii="PT Sans Narrow" w:eastAsia="PT Sans Narrow" w:hAnsi="PT Sans Narrow" w:cs="PT Sans Narrow"/>
      <w:b/>
      <w:sz w:val="84"/>
      <w:szCs w:val="84"/>
    </w:rPr>
  </w:style>
  <w:style w:type="paragraph" w:styleId="Subtitle">
    <w:name w:val="Subtitle"/>
    <w:basedOn w:val="Normal"/>
    <w:next w:val="Normal"/>
    <w:uiPriority w:val="11"/>
    <w:qFormat/>
    <w:rPr>
      <w:rFonts w:ascii="PT Sans Narrow" w:eastAsia="PT Sans Narrow" w:hAnsi="PT Sans Narrow" w:cs="PT Sans Narrow"/>
      <w:sz w:val="28"/>
      <w:szCs w:val="28"/>
    </w:rPr>
  </w:style>
  <w:style w:type="character" w:styleId="Hyperlink">
    <w:name w:val="Hyperlink"/>
    <w:basedOn w:val="DefaultParagraphFont"/>
    <w:uiPriority w:val="99"/>
    <w:semiHidden/>
    <w:unhideWhenUsed/>
    <w:rsid w:val="004128E4"/>
    <w:rPr>
      <w:color w:val="0000FF"/>
      <w:u w:val="single"/>
    </w:rPr>
  </w:style>
  <w:style w:type="paragraph" w:styleId="FootnoteText">
    <w:name w:val="footnote text"/>
    <w:basedOn w:val="Normal"/>
    <w:link w:val="FootnoteTextChar"/>
    <w:uiPriority w:val="99"/>
    <w:semiHidden/>
    <w:unhideWhenUsed/>
    <w:rsid w:val="007B4A3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B4A39"/>
    <w:rPr>
      <w:sz w:val="20"/>
      <w:szCs w:val="20"/>
    </w:rPr>
  </w:style>
  <w:style w:type="character" w:styleId="FootnoteReference">
    <w:name w:val="footnote reference"/>
    <w:basedOn w:val="DefaultParagraphFont"/>
    <w:uiPriority w:val="99"/>
    <w:semiHidden/>
    <w:unhideWhenUsed/>
    <w:rsid w:val="007B4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03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ean-union.europa.eu/institutions-law-budget/institutions-and-bodies/institutions-and-bodies-profiles/european-union-agency-asylum-euaa_e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holarworks.umt.edu/cgi/viewcontent.cgi?article=12892&amp;context=et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9BD65-147D-46C8-9E61-135F94D9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1741</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 SPATHARI</dc:creator>
  <cp:lastModifiedBy>Melina SPATHARI</cp:lastModifiedBy>
  <cp:revision>4</cp:revision>
  <dcterms:created xsi:type="dcterms:W3CDTF">2022-08-29T12:16:00Z</dcterms:created>
  <dcterms:modified xsi:type="dcterms:W3CDTF">2022-08-29T13:47:00Z</dcterms:modified>
</cp:coreProperties>
</file>